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43BF" w:rsidRPr="009238A0" w:rsidRDefault="007B06E7" w:rsidP="004F159F">
      <w:pPr>
        <w:rPr>
          <w:rFonts w:ascii="Segoe UI" w:hAnsi="Segoe UI" w:cs="Segoe UI"/>
          <w:b/>
          <w:sz w:val="28"/>
          <w:szCs w:val="28"/>
        </w:rPr>
      </w:pPr>
      <w:r w:rsidRPr="009238A0">
        <w:rPr>
          <w:rFonts w:ascii="Segoe UI" w:hAnsi="Segoe UI" w:cs="Segoe UI"/>
          <w:b/>
          <w:sz w:val="28"/>
          <w:szCs w:val="28"/>
        </w:rPr>
        <w:t>Casuïstiek Schildklieraandoeningen</w:t>
      </w:r>
    </w:p>
    <w:p w:rsidR="009238A0" w:rsidRDefault="009238A0" w:rsidP="004F159F">
      <w:pPr>
        <w:rPr>
          <w:rFonts w:ascii="Segoe UI" w:hAnsi="Segoe UI" w:cs="Segoe UI"/>
          <w:b/>
          <w:szCs w:val="22"/>
        </w:rPr>
      </w:pPr>
      <w:r>
        <w:rPr>
          <w:rFonts w:ascii="Segoe UI" w:hAnsi="Segoe UI" w:cs="Segoe UI"/>
          <w:b/>
          <w:szCs w:val="22"/>
        </w:rPr>
        <w:t xml:space="preserve">Alle antwoorden staan in de </w:t>
      </w:r>
      <w:proofErr w:type="spellStart"/>
      <w:r>
        <w:rPr>
          <w:rFonts w:ascii="Segoe UI" w:hAnsi="Segoe UI" w:cs="Segoe UI"/>
          <w:b/>
          <w:szCs w:val="22"/>
        </w:rPr>
        <w:t>ppt</w:t>
      </w:r>
      <w:proofErr w:type="spellEnd"/>
      <w:r>
        <w:rPr>
          <w:rFonts w:ascii="Segoe UI" w:hAnsi="Segoe UI" w:cs="Segoe UI"/>
          <w:b/>
          <w:szCs w:val="22"/>
        </w:rPr>
        <w:t xml:space="preserve"> in de slides of in de notitiepagina’s</w:t>
      </w:r>
    </w:p>
    <w:p w:rsidR="00A2629A" w:rsidRDefault="009215E7" w:rsidP="004F159F">
      <w:pPr>
        <w:numPr>
          <w:ilvl w:val="0"/>
          <w:numId w:val="2"/>
        </w:numPr>
        <w:spacing w:after="0"/>
        <w:ind w:left="359" w:hanging="359"/>
        <w:contextualSpacing/>
        <w:rPr>
          <w:rFonts w:ascii="Segoe UI" w:hAnsi="Segoe UI" w:cs="Segoe UI"/>
          <w:szCs w:val="22"/>
        </w:rPr>
      </w:pPr>
      <w:r w:rsidRPr="00B536DB">
        <w:rPr>
          <w:rFonts w:ascii="Segoe UI" w:hAnsi="Segoe UI" w:cs="Segoe UI"/>
          <w:szCs w:val="22"/>
        </w:rPr>
        <w:t>Lieke Visser heeft een hypoth</w:t>
      </w:r>
      <w:r w:rsidR="00897FCF">
        <w:rPr>
          <w:rFonts w:ascii="Segoe UI" w:hAnsi="Segoe UI" w:cs="Segoe UI"/>
          <w:szCs w:val="22"/>
        </w:rPr>
        <w:t>yreoïdie: TSH 15, FT4 3. Je wil</w:t>
      </w:r>
      <w:r w:rsidRPr="00B536DB">
        <w:rPr>
          <w:rFonts w:ascii="Segoe UI" w:hAnsi="Segoe UI" w:cs="Segoe UI"/>
          <w:szCs w:val="22"/>
        </w:rPr>
        <w:t xml:space="preserve"> bij haar starten met levothyroxine.  Ze weegt ruim 100 kg. </w:t>
      </w:r>
    </w:p>
    <w:p w:rsidR="00A2629A" w:rsidRDefault="00A2629A" w:rsidP="004F159F">
      <w:pPr>
        <w:spacing w:after="0"/>
        <w:ind w:left="359"/>
        <w:contextualSpacing/>
        <w:rPr>
          <w:rFonts w:ascii="Segoe UI" w:hAnsi="Segoe UI" w:cs="Segoe UI"/>
          <w:szCs w:val="22"/>
        </w:rPr>
      </w:pPr>
    </w:p>
    <w:p w:rsidR="006E43BF" w:rsidRPr="009238A0" w:rsidRDefault="00A2629A" w:rsidP="004F159F">
      <w:pPr>
        <w:spacing w:after="0"/>
        <w:contextualSpacing/>
        <w:rPr>
          <w:rFonts w:ascii="Segoe UI" w:hAnsi="Segoe UI" w:cs="Segoe UI"/>
          <w:b/>
          <w:szCs w:val="22"/>
        </w:rPr>
      </w:pPr>
      <w:r w:rsidRPr="009238A0">
        <w:rPr>
          <w:rFonts w:ascii="Segoe UI" w:hAnsi="Segoe UI" w:cs="Segoe UI"/>
          <w:b/>
          <w:szCs w:val="22"/>
        </w:rPr>
        <w:t>-</w:t>
      </w:r>
      <w:r w:rsidR="009215E7" w:rsidRPr="009238A0">
        <w:rPr>
          <w:rFonts w:ascii="Segoe UI" w:hAnsi="Segoe UI" w:cs="Segoe UI"/>
          <w:b/>
          <w:szCs w:val="22"/>
        </w:rPr>
        <w:t xml:space="preserve">Met welke startdosering begin je? </w:t>
      </w:r>
    </w:p>
    <w:p w:rsidR="009238A0" w:rsidRPr="009238A0" w:rsidRDefault="009238A0" w:rsidP="004F159F">
      <w:pPr>
        <w:spacing w:after="0"/>
        <w:rPr>
          <w:rFonts w:ascii="Segoe UI" w:hAnsi="Segoe UI" w:cs="Segoe UI"/>
          <w:szCs w:val="22"/>
        </w:rPr>
      </w:pPr>
      <w:r w:rsidRPr="009238A0">
        <w:rPr>
          <w:rFonts w:ascii="Segoe UI" w:hAnsi="Segoe UI" w:cs="Segoe UI"/>
          <w:szCs w:val="22"/>
        </w:rPr>
        <w:t xml:space="preserve">De startdosering is 1,6 </w:t>
      </w:r>
      <w:proofErr w:type="spellStart"/>
      <w:r w:rsidRPr="009238A0">
        <w:rPr>
          <w:rFonts w:ascii="Segoe UI" w:hAnsi="Segoe UI" w:cs="Segoe UI"/>
          <w:szCs w:val="22"/>
        </w:rPr>
        <w:t>ugr</w:t>
      </w:r>
      <w:proofErr w:type="spellEnd"/>
      <w:r w:rsidRPr="009238A0">
        <w:rPr>
          <w:rFonts w:ascii="Segoe UI" w:hAnsi="Segoe UI" w:cs="Segoe UI"/>
          <w:szCs w:val="22"/>
        </w:rPr>
        <w:t xml:space="preserve"> per kg lichaamsgewicht. Met een maximum van 150 </w:t>
      </w:r>
      <w:proofErr w:type="spellStart"/>
      <w:r w:rsidRPr="009238A0">
        <w:rPr>
          <w:rFonts w:ascii="Segoe UI" w:hAnsi="Segoe UI" w:cs="Segoe UI"/>
          <w:szCs w:val="22"/>
        </w:rPr>
        <w:t>ugr</w:t>
      </w:r>
      <w:proofErr w:type="spellEnd"/>
      <w:r w:rsidRPr="009238A0">
        <w:rPr>
          <w:rFonts w:ascii="Segoe UI" w:hAnsi="Segoe UI" w:cs="Segoe UI"/>
          <w:szCs w:val="22"/>
        </w:rPr>
        <w:t xml:space="preserve">. </w:t>
      </w:r>
    </w:p>
    <w:p w:rsidR="009238A0" w:rsidRPr="009238A0" w:rsidRDefault="009238A0" w:rsidP="004F159F">
      <w:pPr>
        <w:spacing w:after="0"/>
        <w:rPr>
          <w:rFonts w:ascii="Segoe UI" w:hAnsi="Segoe UI" w:cs="Segoe UI"/>
          <w:szCs w:val="22"/>
        </w:rPr>
      </w:pPr>
      <w:r w:rsidRPr="009238A0">
        <w:rPr>
          <w:rFonts w:ascii="Segoe UI" w:hAnsi="Segoe UI" w:cs="Segoe UI"/>
          <w:szCs w:val="22"/>
        </w:rPr>
        <w:t xml:space="preserve">Lieke zou dus met het maximum van 150 </w:t>
      </w:r>
      <w:proofErr w:type="spellStart"/>
      <w:r w:rsidRPr="009238A0">
        <w:rPr>
          <w:rFonts w:ascii="Segoe UI" w:hAnsi="Segoe UI" w:cs="Segoe UI"/>
          <w:szCs w:val="22"/>
        </w:rPr>
        <w:t>ugr</w:t>
      </w:r>
      <w:proofErr w:type="spellEnd"/>
      <w:r w:rsidRPr="009238A0">
        <w:rPr>
          <w:rFonts w:ascii="Segoe UI" w:hAnsi="Segoe UI" w:cs="Segoe UI"/>
          <w:szCs w:val="22"/>
        </w:rPr>
        <w:t xml:space="preserve"> kunnen starten en daarna op geleide van de TSH verder doseren.</w:t>
      </w:r>
    </w:p>
    <w:p w:rsidR="009238A0" w:rsidRDefault="009238A0" w:rsidP="004F159F">
      <w:pPr>
        <w:spacing w:after="0"/>
        <w:rPr>
          <w:rFonts w:ascii="Segoe UI" w:hAnsi="Segoe UI" w:cs="Segoe UI"/>
          <w:szCs w:val="22"/>
        </w:rPr>
      </w:pPr>
    </w:p>
    <w:p w:rsidR="006E43BF" w:rsidRPr="009238A0" w:rsidRDefault="007B06E7" w:rsidP="004F159F">
      <w:pPr>
        <w:spacing w:after="0"/>
        <w:rPr>
          <w:rFonts w:ascii="Segoe UI" w:hAnsi="Segoe UI" w:cs="Segoe UI"/>
          <w:b/>
          <w:szCs w:val="22"/>
        </w:rPr>
      </w:pPr>
      <w:r w:rsidRPr="009238A0">
        <w:rPr>
          <w:rFonts w:ascii="Segoe UI" w:hAnsi="Segoe UI" w:cs="Segoe UI"/>
          <w:b/>
          <w:szCs w:val="22"/>
        </w:rPr>
        <w:t>-</w:t>
      </w:r>
      <w:r w:rsidR="009215E7" w:rsidRPr="009238A0">
        <w:rPr>
          <w:rFonts w:ascii="Segoe UI" w:hAnsi="Segoe UI" w:cs="Segoe UI"/>
          <w:b/>
          <w:szCs w:val="22"/>
        </w:rPr>
        <w:t xml:space="preserve">Wat is de streefwaarde van TSH bij Lieke? </w:t>
      </w:r>
    </w:p>
    <w:p w:rsidR="009238A0" w:rsidRPr="009238A0" w:rsidRDefault="009238A0" w:rsidP="004F159F">
      <w:pPr>
        <w:spacing w:after="0"/>
        <w:rPr>
          <w:rFonts w:ascii="Segoe UI" w:hAnsi="Segoe UI" w:cs="Segoe UI"/>
          <w:szCs w:val="22"/>
        </w:rPr>
      </w:pPr>
      <w:r w:rsidRPr="009238A0">
        <w:rPr>
          <w:rFonts w:ascii="Segoe UI" w:hAnsi="Segoe UI" w:cs="Segoe UI"/>
          <w:szCs w:val="22"/>
        </w:rPr>
        <w:t xml:space="preserve">De meeste mensen voelen zich het prettigst bij laag normale TSH (1-2), dan is de FT4 meestal hoog normaal. </w:t>
      </w:r>
    </w:p>
    <w:p w:rsidR="009238A0" w:rsidRPr="009238A0" w:rsidRDefault="009238A0" w:rsidP="004F159F">
      <w:pPr>
        <w:spacing w:after="0"/>
        <w:rPr>
          <w:rFonts w:ascii="Segoe UI" w:hAnsi="Segoe UI" w:cs="Segoe UI"/>
          <w:szCs w:val="22"/>
        </w:rPr>
      </w:pPr>
      <w:r w:rsidRPr="009238A0">
        <w:rPr>
          <w:rFonts w:ascii="Segoe UI" w:hAnsi="Segoe UI" w:cs="Segoe UI"/>
          <w:szCs w:val="22"/>
        </w:rPr>
        <w:t xml:space="preserve">Er zijn verschillende onderzoeken gedaan naar de optimale streefwaarde, maar geen duidelijke conclusie. Bij een te laag TSH zou mogelijk de kans op atriumfibrilleren verhoogd zijn. De meeste mensen voelen zich het prettigst bij laag normale TSH (1- 2), dan is de FT4 meestal hoog normaal. Dit is ook te verklaren dat er extra T4 nodig is  voor de omzetting naar T3, dat anders door de schildklier geproduceerd wordt. </w:t>
      </w:r>
    </w:p>
    <w:p w:rsidR="009238A0" w:rsidRDefault="009238A0" w:rsidP="004F159F">
      <w:pPr>
        <w:spacing w:after="0"/>
        <w:rPr>
          <w:rFonts w:ascii="Segoe UI" w:hAnsi="Segoe UI" w:cs="Segoe UI"/>
          <w:szCs w:val="22"/>
        </w:rPr>
      </w:pPr>
    </w:p>
    <w:p w:rsidR="006E43BF" w:rsidRDefault="007B06E7" w:rsidP="004F159F">
      <w:pPr>
        <w:spacing w:after="0"/>
        <w:rPr>
          <w:rFonts w:ascii="Segoe UI" w:hAnsi="Segoe UI" w:cs="Segoe UI"/>
          <w:b/>
          <w:szCs w:val="22"/>
        </w:rPr>
      </w:pPr>
      <w:r w:rsidRPr="009238A0">
        <w:rPr>
          <w:rFonts w:ascii="Segoe UI" w:hAnsi="Segoe UI" w:cs="Segoe UI"/>
          <w:b/>
          <w:szCs w:val="22"/>
        </w:rPr>
        <w:t>-</w:t>
      </w:r>
      <w:r w:rsidR="009215E7" w:rsidRPr="009238A0">
        <w:rPr>
          <w:rFonts w:ascii="Segoe UI" w:hAnsi="Segoe UI" w:cs="Segoe UI"/>
          <w:b/>
          <w:szCs w:val="22"/>
        </w:rPr>
        <w:t>Lieke heeft nog klachten, terwijl de TSH 2 is en de vrij T4 15. Wat doe je?</w:t>
      </w:r>
    </w:p>
    <w:p w:rsidR="009238A0" w:rsidRPr="009238A0" w:rsidRDefault="009238A0" w:rsidP="004F159F">
      <w:pPr>
        <w:spacing w:after="0"/>
        <w:rPr>
          <w:rFonts w:ascii="Segoe UI" w:hAnsi="Segoe UI" w:cs="Segoe UI"/>
          <w:szCs w:val="22"/>
        </w:rPr>
      </w:pPr>
      <w:r w:rsidRPr="009238A0">
        <w:rPr>
          <w:rFonts w:ascii="Segoe UI" w:hAnsi="Segoe UI" w:cs="Segoe UI"/>
          <w:szCs w:val="22"/>
        </w:rPr>
        <w:t xml:space="preserve">Je zou de dosering nog iets kunnen verhogen met 12,5 </w:t>
      </w:r>
      <w:proofErr w:type="spellStart"/>
      <w:r w:rsidRPr="009238A0">
        <w:rPr>
          <w:rFonts w:ascii="Segoe UI" w:hAnsi="Segoe UI" w:cs="Segoe UI"/>
          <w:szCs w:val="22"/>
        </w:rPr>
        <w:t>ugram</w:t>
      </w:r>
      <w:proofErr w:type="spellEnd"/>
      <w:r w:rsidRPr="009238A0">
        <w:rPr>
          <w:rFonts w:ascii="Segoe UI" w:hAnsi="Segoe UI" w:cs="Segoe UI"/>
          <w:szCs w:val="22"/>
        </w:rPr>
        <w:t>. Soms gaan patiënten  zich dan toch beter voelen.</w:t>
      </w:r>
    </w:p>
    <w:p w:rsidR="009238A0" w:rsidRPr="009238A0" w:rsidRDefault="009238A0" w:rsidP="004F159F">
      <w:pPr>
        <w:spacing w:after="0"/>
        <w:rPr>
          <w:rFonts w:ascii="Segoe UI" w:hAnsi="Segoe UI" w:cs="Segoe UI"/>
          <w:b/>
          <w:szCs w:val="22"/>
        </w:rPr>
      </w:pPr>
    </w:p>
    <w:p w:rsidR="006E43BF" w:rsidRPr="00E46E30" w:rsidRDefault="009215E7" w:rsidP="004F159F">
      <w:pPr>
        <w:spacing w:after="0"/>
        <w:rPr>
          <w:rFonts w:ascii="Segoe UI" w:hAnsi="Segoe UI" w:cs="Segoe UI"/>
          <w:b/>
          <w:szCs w:val="22"/>
        </w:rPr>
      </w:pPr>
      <w:r w:rsidRPr="00E46E30">
        <w:rPr>
          <w:rFonts w:ascii="Segoe UI" w:hAnsi="Segoe UI" w:cs="Segoe UI"/>
          <w:b/>
          <w:szCs w:val="22"/>
        </w:rPr>
        <w:t xml:space="preserve">-Ze komt uiteindelijk uit op 175 </w:t>
      </w:r>
      <w:proofErr w:type="spellStart"/>
      <w:r w:rsidRPr="00E46E30">
        <w:rPr>
          <w:rFonts w:ascii="Segoe UI" w:hAnsi="Segoe UI" w:cs="Segoe UI"/>
          <w:b/>
          <w:szCs w:val="22"/>
        </w:rPr>
        <w:t>ugram</w:t>
      </w:r>
      <w:proofErr w:type="spellEnd"/>
      <w:r w:rsidRPr="00E46E30">
        <w:rPr>
          <w:rFonts w:ascii="Segoe UI" w:hAnsi="Segoe UI" w:cs="Segoe UI"/>
          <w:b/>
          <w:szCs w:val="22"/>
        </w:rPr>
        <w:t xml:space="preserve"> </w:t>
      </w:r>
      <w:proofErr w:type="spellStart"/>
      <w:r w:rsidRPr="00E46E30">
        <w:rPr>
          <w:rFonts w:ascii="Segoe UI" w:hAnsi="Segoe UI" w:cs="Segoe UI"/>
          <w:b/>
          <w:szCs w:val="22"/>
        </w:rPr>
        <w:t>thyrax</w:t>
      </w:r>
      <w:proofErr w:type="spellEnd"/>
      <w:r w:rsidRPr="00E46E30">
        <w:rPr>
          <w:rFonts w:ascii="Segoe UI" w:hAnsi="Segoe UI" w:cs="Segoe UI"/>
          <w:b/>
          <w:szCs w:val="22"/>
        </w:rPr>
        <w:t xml:space="preserve"> </w:t>
      </w:r>
      <w:proofErr w:type="spellStart"/>
      <w:r w:rsidRPr="00E46E30">
        <w:rPr>
          <w:rFonts w:ascii="Segoe UI" w:hAnsi="Segoe UI" w:cs="Segoe UI"/>
          <w:b/>
          <w:szCs w:val="22"/>
        </w:rPr>
        <w:t>duotab</w:t>
      </w:r>
      <w:proofErr w:type="spellEnd"/>
      <w:r w:rsidRPr="00E46E30">
        <w:rPr>
          <w:rFonts w:ascii="Segoe UI" w:hAnsi="Segoe UI" w:cs="Segoe UI"/>
          <w:b/>
          <w:szCs w:val="22"/>
        </w:rPr>
        <w:t xml:space="preserve">.  Deze tablet is alleen verkrijgbaar in de hoeveel heden 25, 100 en 150 </w:t>
      </w:r>
      <w:proofErr w:type="spellStart"/>
      <w:r w:rsidRPr="00E46E30">
        <w:rPr>
          <w:rFonts w:ascii="Segoe UI" w:hAnsi="Segoe UI" w:cs="Segoe UI"/>
          <w:b/>
          <w:szCs w:val="22"/>
        </w:rPr>
        <w:t>ugr</w:t>
      </w:r>
      <w:proofErr w:type="spellEnd"/>
      <w:r w:rsidRPr="00E46E30">
        <w:rPr>
          <w:rFonts w:ascii="Segoe UI" w:hAnsi="Segoe UI" w:cs="Segoe UI"/>
          <w:b/>
          <w:szCs w:val="22"/>
        </w:rPr>
        <w:t xml:space="preserve">. Ze vindt het echter onhandig om 2 tabletjes in te moeten nemen en vraagt of ze niet de </w:t>
      </w:r>
      <w:proofErr w:type="spellStart"/>
      <w:r w:rsidRPr="00E46E30">
        <w:rPr>
          <w:rFonts w:ascii="Segoe UI" w:hAnsi="Segoe UI" w:cs="Segoe UI"/>
          <w:b/>
          <w:szCs w:val="22"/>
        </w:rPr>
        <w:t>euthyrox</w:t>
      </w:r>
      <w:proofErr w:type="spellEnd"/>
      <w:r w:rsidRPr="00E46E30">
        <w:rPr>
          <w:rFonts w:ascii="Segoe UI" w:hAnsi="Segoe UI" w:cs="Segoe UI"/>
          <w:b/>
          <w:szCs w:val="22"/>
        </w:rPr>
        <w:t xml:space="preserve"> 175 </w:t>
      </w:r>
      <w:proofErr w:type="spellStart"/>
      <w:r w:rsidRPr="00E46E30">
        <w:rPr>
          <w:rFonts w:ascii="Segoe UI" w:hAnsi="Segoe UI" w:cs="Segoe UI"/>
          <w:b/>
          <w:szCs w:val="22"/>
        </w:rPr>
        <w:t>ugram</w:t>
      </w:r>
      <w:proofErr w:type="spellEnd"/>
      <w:r w:rsidRPr="00E46E30">
        <w:rPr>
          <w:rFonts w:ascii="Segoe UI" w:hAnsi="Segoe UI" w:cs="Segoe UI"/>
          <w:b/>
          <w:szCs w:val="22"/>
        </w:rPr>
        <w:t xml:space="preserve"> kan krijgen?  </w:t>
      </w:r>
    </w:p>
    <w:p w:rsidR="00E46E30" w:rsidRPr="00E46E30" w:rsidRDefault="00331C70" w:rsidP="004F159F">
      <w:pPr>
        <w:spacing w:after="0"/>
        <w:rPr>
          <w:rFonts w:ascii="Segoe UI" w:hAnsi="Segoe UI" w:cs="Segoe UI"/>
          <w:szCs w:val="22"/>
        </w:rPr>
      </w:pPr>
      <w:r w:rsidRPr="00E46E30">
        <w:rPr>
          <w:rFonts w:ascii="Segoe UI" w:hAnsi="Segoe UI" w:cs="Segoe UI"/>
          <w:szCs w:val="22"/>
        </w:rPr>
        <w:t>NHG: maak afspraak preferente apotheker over afleveren zelfde merk.</w:t>
      </w:r>
    </w:p>
    <w:p w:rsidR="00E46E30" w:rsidRPr="00E46E30" w:rsidRDefault="00E46E30" w:rsidP="004F159F">
      <w:pPr>
        <w:rPr>
          <w:rFonts w:ascii="Segoe UI" w:hAnsi="Segoe UI" w:cs="Segoe UI"/>
          <w:szCs w:val="22"/>
        </w:rPr>
      </w:pPr>
      <w:r w:rsidRPr="00E46E30">
        <w:rPr>
          <w:rFonts w:ascii="Segoe UI" w:hAnsi="Segoe UI" w:cs="Segoe UI"/>
          <w:szCs w:val="22"/>
        </w:rPr>
        <w:t xml:space="preserve">De KNMP adviseert altijd hetzelfde merk te gebruiken i.v.m. de kleine therapeutische breedte, om over en onder dosering te voorkomen. Het advies van het NHG is ook om afspraken te maken met de preferente apotheker over het afleveren van steeds hetzelfde merk, i.v.m. verschillen in resorptie. Als mevrouw echter langdurig stabiel is op de 175 </w:t>
      </w:r>
      <w:proofErr w:type="spellStart"/>
      <w:r w:rsidRPr="00E46E30">
        <w:rPr>
          <w:rFonts w:ascii="Segoe UI" w:hAnsi="Segoe UI" w:cs="Segoe UI"/>
          <w:szCs w:val="22"/>
        </w:rPr>
        <w:t>ugram</w:t>
      </w:r>
      <w:proofErr w:type="spellEnd"/>
      <w:r w:rsidRPr="00E46E30">
        <w:rPr>
          <w:rFonts w:ascii="Segoe UI" w:hAnsi="Segoe UI" w:cs="Segoe UI"/>
          <w:szCs w:val="22"/>
        </w:rPr>
        <w:t>, dan zou je kunnen overwegen om wel eenmalig te switchen van merk en weer extra te controleren. Het risico is dan echter dat ze weer op een andere dosering uitkomt.</w:t>
      </w:r>
    </w:p>
    <w:p w:rsidR="001D1AC3" w:rsidRPr="00E46E30" w:rsidRDefault="00E46E30" w:rsidP="004F159F">
      <w:pPr>
        <w:spacing w:after="0"/>
        <w:rPr>
          <w:rFonts w:ascii="Segoe UI" w:hAnsi="Segoe UI" w:cs="Segoe UI"/>
          <w:szCs w:val="22"/>
        </w:rPr>
      </w:pPr>
      <w:r w:rsidRPr="00E46E30">
        <w:rPr>
          <w:rFonts w:ascii="Segoe UI" w:hAnsi="Segoe UI" w:cs="Segoe UI"/>
          <w:szCs w:val="22"/>
        </w:rPr>
        <w:t>Dus beter van niet. Met</w:t>
      </w:r>
      <w:r w:rsidR="00331C70" w:rsidRPr="00E46E30">
        <w:rPr>
          <w:rFonts w:ascii="Segoe UI" w:hAnsi="Segoe UI" w:cs="Segoe UI"/>
          <w:szCs w:val="22"/>
        </w:rPr>
        <w:t xml:space="preserve"> uitleg mag het natuurlijk wel, maar dan moet ze weten dat ze mogelijk alsnog op een andere dosering uitkomt en weer wat instabiel zou kunnen worden. </w:t>
      </w:r>
    </w:p>
    <w:p w:rsidR="00E46E30" w:rsidRPr="00E46E30" w:rsidRDefault="00E46E30" w:rsidP="004F159F">
      <w:pPr>
        <w:spacing w:after="0"/>
        <w:ind w:left="359"/>
        <w:rPr>
          <w:rFonts w:ascii="Segoe UI" w:hAnsi="Segoe UI" w:cs="Segoe UI"/>
          <w:szCs w:val="22"/>
        </w:rPr>
      </w:pPr>
    </w:p>
    <w:p w:rsidR="006E43BF" w:rsidRPr="00A25AF0" w:rsidRDefault="009215E7" w:rsidP="004F159F">
      <w:pPr>
        <w:numPr>
          <w:ilvl w:val="0"/>
          <w:numId w:val="2"/>
        </w:numPr>
        <w:spacing w:after="0"/>
        <w:ind w:left="359" w:hanging="359"/>
        <w:contextualSpacing/>
        <w:rPr>
          <w:rFonts w:ascii="Segoe UI" w:hAnsi="Segoe UI" w:cs="Segoe UI"/>
          <w:b/>
          <w:szCs w:val="22"/>
        </w:rPr>
      </w:pPr>
      <w:r w:rsidRPr="00B536DB">
        <w:rPr>
          <w:rFonts w:ascii="Segoe UI" w:hAnsi="Segoe UI" w:cs="Segoe UI"/>
          <w:szCs w:val="22"/>
        </w:rPr>
        <w:lastRenderedPageBreak/>
        <w:t xml:space="preserve">Mevrouw L heeft een druk gezinsleven en het lukt haar vaak niet goed om een half uur te wachten met ontbijten nadat ze de </w:t>
      </w:r>
      <w:proofErr w:type="spellStart"/>
      <w:r w:rsidRPr="00B536DB">
        <w:rPr>
          <w:rFonts w:ascii="Segoe UI" w:hAnsi="Segoe UI" w:cs="Segoe UI"/>
          <w:szCs w:val="22"/>
        </w:rPr>
        <w:t>thyrax</w:t>
      </w:r>
      <w:proofErr w:type="spellEnd"/>
      <w:r w:rsidRPr="00B536DB">
        <w:rPr>
          <w:rFonts w:ascii="Segoe UI" w:hAnsi="Segoe UI" w:cs="Segoe UI"/>
          <w:szCs w:val="22"/>
        </w:rPr>
        <w:t xml:space="preserve"> heeft ingenomen.  Haar TSH waarde blijft ook hoog normaal</w:t>
      </w:r>
      <w:r w:rsidRPr="00A25AF0">
        <w:rPr>
          <w:rFonts w:ascii="Segoe UI" w:hAnsi="Segoe UI" w:cs="Segoe UI"/>
          <w:b/>
          <w:szCs w:val="22"/>
        </w:rPr>
        <w:t xml:space="preserve">.  Wat adviseer je haar? </w:t>
      </w:r>
    </w:p>
    <w:p w:rsidR="00897FCF" w:rsidRDefault="00897FCF" w:rsidP="004F159F">
      <w:pPr>
        <w:spacing w:after="0"/>
        <w:ind w:left="359"/>
        <w:rPr>
          <w:rFonts w:ascii="Segoe UI" w:hAnsi="Segoe UI" w:cs="Segoe UI"/>
          <w:szCs w:val="22"/>
        </w:rPr>
      </w:pPr>
    </w:p>
    <w:p w:rsidR="006E43BF" w:rsidRDefault="00A25AF0" w:rsidP="004F159F">
      <w:pPr>
        <w:spacing w:after="0"/>
        <w:rPr>
          <w:rFonts w:ascii="Segoe UI" w:hAnsi="Segoe UI" w:cs="Segoe UI"/>
          <w:szCs w:val="22"/>
        </w:rPr>
      </w:pPr>
      <w:r w:rsidRPr="00A25AF0">
        <w:rPr>
          <w:rFonts w:ascii="Segoe UI" w:hAnsi="Segoe UI" w:cs="Segoe UI"/>
          <w:szCs w:val="22"/>
        </w:rPr>
        <w:t xml:space="preserve">Je advies is om te overwegen de </w:t>
      </w:r>
      <w:proofErr w:type="spellStart"/>
      <w:r w:rsidRPr="00A25AF0">
        <w:rPr>
          <w:rFonts w:ascii="Segoe UI" w:hAnsi="Segoe UI" w:cs="Segoe UI"/>
          <w:szCs w:val="22"/>
        </w:rPr>
        <w:t>thyrax</w:t>
      </w:r>
      <w:proofErr w:type="spellEnd"/>
      <w:r w:rsidRPr="00A25AF0">
        <w:rPr>
          <w:rFonts w:ascii="Segoe UI" w:hAnsi="Segoe UI" w:cs="Segoe UI"/>
          <w:szCs w:val="22"/>
        </w:rPr>
        <w:t xml:space="preserve"> ‘s avonds in te nemen. </w:t>
      </w:r>
      <w:proofErr w:type="spellStart"/>
      <w:r w:rsidRPr="00A25AF0">
        <w:rPr>
          <w:rFonts w:ascii="Segoe UI" w:hAnsi="Segoe UI" w:cs="Segoe UI"/>
          <w:szCs w:val="22"/>
        </w:rPr>
        <w:t>Mw</w:t>
      </w:r>
      <w:proofErr w:type="spellEnd"/>
      <w:r w:rsidRPr="00A25AF0">
        <w:rPr>
          <w:rFonts w:ascii="Segoe UI" w:hAnsi="Segoe UI" w:cs="Segoe UI"/>
          <w:szCs w:val="22"/>
        </w:rPr>
        <w:t xml:space="preserve"> moet dan wel 3 uur voor inname nuchter blijven. </w:t>
      </w:r>
      <w:proofErr w:type="spellStart"/>
      <w:r w:rsidRPr="00A25AF0">
        <w:rPr>
          <w:rFonts w:ascii="Segoe UI" w:hAnsi="Segoe UI" w:cs="Segoe UI"/>
          <w:szCs w:val="22"/>
        </w:rPr>
        <w:t>‘S</w:t>
      </w:r>
      <w:proofErr w:type="spellEnd"/>
      <w:r w:rsidRPr="00A25AF0">
        <w:rPr>
          <w:rFonts w:ascii="Segoe UI" w:hAnsi="Segoe UI" w:cs="Segoe UI"/>
          <w:szCs w:val="22"/>
        </w:rPr>
        <w:t xml:space="preserve"> nachts blijkt de opname van </w:t>
      </w:r>
      <w:proofErr w:type="spellStart"/>
      <w:r w:rsidRPr="00A25AF0">
        <w:rPr>
          <w:rFonts w:ascii="Segoe UI" w:hAnsi="Segoe UI" w:cs="Segoe UI"/>
          <w:szCs w:val="22"/>
        </w:rPr>
        <w:t>thyrax</w:t>
      </w:r>
      <w:proofErr w:type="spellEnd"/>
      <w:r w:rsidRPr="00A25AF0">
        <w:rPr>
          <w:rFonts w:ascii="Segoe UI" w:hAnsi="Segoe UI" w:cs="Segoe UI"/>
          <w:szCs w:val="22"/>
        </w:rPr>
        <w:t xml:space="preserve"> beter te zijn dan overdag. Dit blijkt voor mevrouw toch ook lastig, omdat ze vaak laat eet en vroeg naar bed gaat. Zijn er nog alternatieven? Als ze kleine kinderen heeft zou het kunnen dat ze regelmatig ‘s nachts eruit moet, of misschien moet ze ‘s nachts meestal wel een keer naar het toilet. Ze zou de </w:t>
      </w:r>
      <w:proofErr w:type="spellStart"/>
      <w:r w:rsidRPr="00A25AF0">
        <w:rPr>
          <w:rFonts w:ascii="Segoe UI" w:hAnsi="Segoe UI" w:cs="Segoe UI"/>
          <w:szCs w:val="22"/>
        </w:rPr>
        <w:t>thyrax</w:t>
      </w:r>
      <w:proofErr w:type="spellEnd"/>
      <w:r w:rsidRPr="00A25AF0">
        <w:rPr>
          <w:rFonts w:ascii="Segoe UI" w:hAnsi="Segoe UI" w:cs="Segoe UI"/>
          <w:szCs w:val="22"/>
        </w:rPr>
        <w:t xml:space="preserve"> ook op die momenten s nachts in kunnen nemen.</w:t>
      </w:r>
    </w:p>
    <w:p w:rsidR="00A25AF0" w:rsidRPr="00B536DB" w:rsidRDefault="00A25AF0" w:rsidP="004F159F">
      <w:pPr>
        <w:spacing w:after="0"/>
        <w:rPr>
          <w:rFonts w:ascii="Segoe UI" w:hAnsi="Segoe UI" w:cs="Segoe UI"/>
          <w:szCs w:val="22"/>
        </w:rPr>
      </w:pPr>
    </w:p>
    <w:p w:rsidR="009144F3" w:rsidRPr="00A25AF0" w:rsidRDefault="009215E7" w:rsidP="004F159F">
      <w:pPr>
        <w:rPr>
          <w:rFonts w:ascii="Segoe UI" w:hAnsi="Segoe UI" w:cs="Segoe UI"/>
          <w:szCs w:val="22"/>
        </w:rPr>
      </w:pPr>
      <w:r w:rsidRPr="00897FCF">
        <w:rPr>
          <w:rFonts w:ascii="Segoe UI" w:hAnsi="Segoe UI" w:cs="Segoe UI"/>
          <w:b/>
          <w:szCs w:val="22"/>
        </w:rPr>
        <w:t xml:space="preserve">-Mevrouw vraagt zich af of het zou kunnen dat ze het merkt als de </w:t>
      </w:r>
      <w:proofErr w:type="spellStart"/>
      <w:r w:rsidRPr="00897FCF">
        <w:rPr>
          <w:rFonts w:ascii="Segoe UI" w:hAnsi="Segoe UI" w:cs="Segoe UI"/>
          <w:b/>
          <w:szCs w:val="22"/>
        </w:rPr>
        <w:t>thyrax</w:t>
      </w:r>
      <w:proofErr w:type="spellEnd"/>
      <w:r w:rsidRPr="00897FCF">
        <w:rPr>
          <w:rFonts w:ascii="Segoe UI" w:hAnsi="Segoe UI" w:cs="Segoe UI"/>
          <w:b/>
          <w:szCs w:val="22"/>
        </w:rPr>
        <w:t xml:space="preserve"> een keer niet goed opgenomen wordt, omdat ze te snel gaat eten na inname. Zou dit kunnen?</w:t>
      </w:r>
      <w:r w:rsidR="009144F3">
        <w:rPr>
          <w:rFonts w:ascii="Segoe UI" w:hAnsi="Segoe UI" w:cs="Segoe UI"/>
          <w:szCs w:val="22"/>
        </w:rPr>
        <w:br/>
      </w:r>
      <w:r w:rsidR="00A25AF0" w:rsidRPr="00A25AF0">
        <w:rPr>
          <w:rFonts w:ascii="Segoe UI" w:hAnsi="Segoe UI" w:cs="Segoe UI"/>
          <w:szCs w:val="22"/>
        </w:rPr>
        <w:t xml:space="preserve">Die kans is klein. De halfwaardetijd van </w:t>
      </w:r>
      <w:proofErr w:type="spellStart"/>
      <w:r w:rsidR="00A25AF0" w:rsidRPr="00A25AF0">
        <w:rPr>
          <w:rFonts w:ascii="Segoe UI" w:hAnsi="Segoe UI" w:cs="Segoe UI"/>
          <w:szCs w:val="22"/>
        </w:rPr>
        <w:t>thyrax</w:t>
      </w:r>
      <w:proofErr w:type="spellEnd"/>
      <w:r w:rsidR="00A25AF0" w:rsidRPr="00A25AF0">
        <w:rPr>
          <w:rFonts w:ascii="Segoe UI" w:hAnsi="Segoe UI" w:cs="Segoe UI"/>
          <w:szCs w:val="22"/>
        </w:rPr>
        <w:t xml:space="preserve"> is 7 dagen, dus 1x een dosering overslaan </w:t>
      </w:r>
      <w:proofErr w:type="spellStart"/>
      <w:r w:rsidR="00A25AF0" w:rsidRPr="00A25AF0">
        <w:rPr>
          <w:rFonts w:ascii="Segoe UI" w:hAnsi="Segoe UI" w:cs="Segoe UI"/>
          <w:szCs w:val="22"/>
        </w:rPr>
        <w:t>zul</w:t>
      </w:r>
      <w:proofErr w:type="spellEnd"/>
      <w:r w:rsidR="00A25AF0" w:rsidRPr="00A25AF0">
        <w:rPr>
          <w:rFonts w:ascii="Segoe UI" w:hAnsi="Segoe UI" w:cs="Segoe UI"/>
          <w:szCs w:val="22"/>
        </w:rPr>
        <w:t xml:space="preserve"> je klinisch niet snel merken. Pas na 35 dagen helemaal stoppen is de </w:t>
      </w:r>
      <w:proofErr w:type="spellStart"/>
      <w:r w:rsidR="00A25AF0" w:rsidRPr="00A25AF0">
        <w:rPr>
          <w:rFonts w:ascii="Segoe UI" w:hAnsi="Segoe UI" w:cs="Segoe UI"/>
          <w:szCs w:val="22"/>
        </w:rPr>
        <w:t>thyrax</w:t>
      </w:r>
      <w:proofErr w:type="spellEnd"/>
      <w:r w:rsidR="00A25AF0" w:rsidRPr="00A25AF0">
        <w:rPr>
          <w:rFonts w:ascii="Segoe UI" w:hAnsi="Segoe UI" w:cs="Segoe UI"/>
          <w:szCs w:val="22"/>
        </w:rPr>
        <w:t xml:space="preserve"> uit het lichaam verdwenen. </w:t>
      </w:r>
      <w:r w:rsidR="009144F3" w:rsidRPr="00A25AF0">
        <w:rPr>
          <w:rFonts w:ascii="Segoe UI" w:hAnsi="Segoe UI" w:cs="Segoe UI"/>
          <w:szCs w:val="22"/>
        </w:rPr>
        <w:t>Dit verklaart ook waarom je pas minimaal een maand na een dosisverandering bloed moet laten prikken. De steady state is ook pas na 35 dagen aanwezig.</w:t>
      </w:r>
    </w:p>
    <w:p w:rsidR="00A2629A" w:rsidRDefault="00A2629A" w:rsidP="004F159F">
      <w:pPr>
        <w:numPr>
          <w:ilvl w:val="0"/>
          <w:numId w:val="2"/>
        </w:numPr>
        <w:ind w:left="0" w:hanging="359"/>
        <w:contextualSpacing/>
        <w:rPr>
          <w:rFonts w:ascii="Segoe UI" w:hAnsi="Segoe UI" w:cs="Segoe UI"/>
          <w:szCs w:val="22"/>
        </w:rPr>
      </w:pPr>
      <w:r w:rsidRPr="00944B69">
        <w:rPr>
          <w:rFonts w:ascii="Segoe UI" w:hAnsi="Segoe UI" w:cs="Segoe UI"/>
          <w:szCs w:val="22"/>
        </w:rPr>
        <w:t>Mevrouw H is wat lastig in te stellen voor haar hypothyreoïdie. Ze heeft o</w:t>
      </w:r>
      <w:r>
        <w:rPr>
          <w:rFonts w:ascii="Segoe UI" w:hAnsi="Segoe UI" w:cs="Segoe UI"/>
          <w:szCs w:val="22"/>
        </w:rPr>
        <w:t>p een forum gelezen dat het</w:t>
      </w:r>
      <w:r w:rsidRPr="00944B69">
        <w:rPr>
          <w:rFonts w:ascii="Segoe UI" w:hAnsi="Segoe UI" w:cs="Segoe UI"/>
          <w:szCs w:val="22"/>
        </w:rPr>
        <w:t xml:space="preserve"> beter is om ook T3 hormoon erbij te slikken. Dan ga ik me veel beter voelen, dokter.  </w:t>
      </w:r>
    </w:p>
    <w:p w:rsidR="00A2629A" w:rsidRPr="00A25AF0" w:rsidRDefault="00A2629A" w:rsidP="004F159F">
      <w:pPr>
        <w:contextualSpacing/>
        <w:rPr>
          <w:rFonts w:ascii="Segoe UI" w:hAnsi="Segoe UI" w:cs="Segoe UI"/>
          <w:b/>
          <w:szCs w:val="22"/>
        </w:rPr>
      </w:pPr>
      <w:r w:rsidRPr="00A25AF0">
        <w:rPr>
          <w:rFonts w:ascii="Segoe UI" w:hAnsi="Segoe UI" w:cs="Segoe UI"/>
          <w:b/>
          <w:szCs w:val="22"/>
        </w:rPr>
        <w:t>-Wat vind je hiervan en wat zou je met haar bespreken?</w:t>
      </w:r>
    </w:p>
    <w:p w:rsidR="00A25AF0" w:rsidRPr="00A25AF0" w:rsidRDefault="00A25AF0" w:rsidP="004F159F">
      <w:pPr>
        <w:rPr>
          <w:rFonts w:ascii="Segoe UI" w:hAnsi="Segoe UI" w:cs="Segoe UI"/>
          <w:szCs w:val="22"/>
        </w:rPr>
      </w:pPr>
      <w:r w:rsidRPr="00A25AF0">
        <w:rPr>
          <w:rFonts w:ascii="Segoe UI" w:hAnsi="Segoe UI" w:cs="Segoe UI"/>
          <w:szCs w:val="22"/>
        </w:rPr>
        <w:t>Als ze evidente klachten blijft houden ondanks goede instelling, dan is verwijzing voor een eventuele proefbehandeling T3 aangewezen. (</w:t>
      </w:r>
      <w:proofErr w:type="spellStart"/>
      <w:r w:rsidRPr="00A25AF0">
        <w:rPr>
          <w:rFonts w:ascii="Segoe UI" w:hAnsi="Segoe UI" w:cs="Segoe UI"/>
          <w:szCs w:val="22"/>
        </w:rPr>
        <w:t>cytomel</w:t>
      </w:r>
      <w:proofErr w:type="spellEnd"/>
      <w:r w:rsidRPr="00A25AF0">
        <w:rPr>
          <w:rFonts w:ascii="Segoe UI" w:hAnsi="Segoe UI" w:cs="Segoe UI"/>
          <w:szCs w:val="22"/>
        </w:rPr>
        <w:t>=</w:t>
      </w:r>
      <w:proofErr w:type="spellStart"/>
      <w:r w:rsidRPr="00A25AF0">
        <w:rPr>
          <w:rFonts w:ascii="Segoe UI" w:hAnsi="Segoe UI" w:cs="Segoe UI"/>
          <w:szCs w:val="22"/>
        </w:rPr>
        <w:t>liothyronine</w:t>
      </w:r>
      <w:proofErr w:type="spellEnd"/>
      <w:r w:rsidRPr="00A25AF0">
        <w:rPr>
          <w:rFonts w:ascii="Segoe UI" w:hAnsi="Segoe UI" w:cs="Segoe UI"/>
          <w:szCs w:val="22"/>
        </w:rPr>
        <w:t xml:space="preserve">) Groot nadeel is dat T3 kortere T1/2 heeft, dus moeilijker goed in te stellen en sneller teveel.  </w:t>
      </w:r>
    </w:p>
    <w:p w:rsidR="009144F3" w:rsidRPr="00A25AF0" w:rsidRDefault="009144F3" w:rsidP="004F159F">
      <w:pPr>
        <w:rPr>
          <w:rFonts w:ascii="Segoe UI" w:hAnsi="Segoe UI" w:cs="Segoe UI"/>
          <w:szCs w:val="22"/>
        </w:rPr>
      </w:pPr>
      <w:r w:rsidRPr="00A25AF0">
        <w:rPr>
          <w:rFonts w:ascii="Segoe UI" w:hAnsi="Segoe UI" w:cs="Segoe UI"/>
          <w:szCs w:val="22"/>
        </w:rPr>
        <w:t xml:space="preserve">Internisten richtlijn: Bij persisterende klachten kan, na uitsluiting van alternatieve oorzaken, de combinatie levothyroxine met </w:t>
      </w:r>
      <w:proofErr w:type="spellStart"/>
      <w:r w:rsidRPr="00A25AF0">
        <w:rPr>
          <w:rFonts w:ascii="Segoe UI" w:hAnsi="Segoe UI" w:cs="Segoe UI"/>
          <w:szCs w:val="22"/>
        </w:rPr>
        <w:t>liothyronine</w:t>
      </w:r>
      <w:proofErr w:type="spellEnd"/>
      <w:r w:rsidRPr="00A25AF0">
        <w:rPr>
          <w:rFonts w:ascii="Segoe UI" w:hAnsi="Segoe UI" w:cs="Segoe UI"/>
          <w:szCs w:val="22"/>
        </w:rPr>
        <w:t xml:space="preserve"> worden overwogen. Deze behandeling dient als experimenteel te worden beschouwd en bij voorkeur door de internist te worden toegepast. Voor patiënten met </w:t>
      </w:r>
      <w:proofErr w:type="spellStart"/>
      <w:r w:rsidRPr="00A25AF0">
        <w:rPr>
          <w:rFonts w:ascii="Segoe UI" w:hAnsi="Segoe UI" w:cs="Segoe UI"/>
          <w:szCs w:val="22"/>
        </w:rPr>
        <w:t>hart-ritmestoornissen</w:t>
      </w:r>
      <w:proofErr w:type="spellEnd"/>
      <w:r w:rsidRPr="00A25AF0">
        <w:rPr>
          <w:rFonts w:ascii="Segoe UI" w:hAnsi="Segoe UI" w:cs="Segoe UI"/>
          <w:szCs w:val="22"/>
        </w:rPr>
        <w:t xml:space="preserve"> is combinatietherapie </w:t>
      </w:r>
      <w:proofErr w:type="spellStart"/>
      <w:r w:rsidRPr="00A25AF0">
        <w:rPr>
          <w:rFonts w:ascii="Segoe UI" w:hAnsi="Segoe UI" w:cs="Segoe UI"/>
          <w:szCs w:val="22"/>
        </w:rPr>
        <w:t>gecontraïndiceerd</w:t>
      </w:r>
      <w:proofErr w:type="spellEnd"/>
      <w:r w:rsidRPr="00A25AF0">
        <w:rPr>
          <w:rFonts w:ascii="Segoe UI" w:hAnsi="Segoe UI" w:cs="Segoe UI"/>
          <w:szCs w:val="22"/>
        </w:rPr>
        <w:t xml:space="preserve">. Indien na 3 maanden geen verbetering optreedt dient combinatietherapie te worden gestaakt. Voor een nadere toelichting op het bepalen van de juiste dosering en de te gebruiken preparaten zij verwezen naar </w:t>
      </w:r>
      <w:proofErr w:type="spellStart"/>
      <w:r w:rsidRPr="00A25AF0">
        <w:rPr>
          <w:rFonts w:ascii="Segoe UI" w:hAnsi="Segoe UI" w:cs="Segoe UI"/>
          <w:szCs w:val="22"/>
        </w:rPr>
        <w:t>Wiersinga</w:t>
      </w:r>
      <w:proofErr w:type="spellEnd"/>
      <w:r w:rsidRPr="00A25AF0">
        <w:rPr>
          <w:rFonts w:ascii="Segoe UI" w:hAnsi="Segoe UI" w:cs="Segoe UI"/>
          <w:szCs w:val="22"/>
        </w:rPr>
        <w:t xml:space="preserve"> et al, 2012. </w:t>
      </w:r>
    </w:p>
    <w:p w:rsidR="006E43BF" w:rsidRPr="00B536DB" w:rsidRDefault="009215E7" w:rsidP="004F159F">
      <w:pPr>
        <w:numPr>
          <w:ilvl w:val="0"/>
          <w:numId w:val="2"/>
        </w:numPr>
        <w:ind w:left="0" w:hanging="359"/>
        <w:contextualSpacing/>
        <w:rPr>
          <w:rFonts w:ascii="Segoe UI" w:hAnsi="Segoe UI" w:cs="Segoe UI"/>
          <w:szCs w:val="22"/>
        </w:rPr>
      </w:pPr>
      <w:proofErr w:type="spellStart"/>
      <w:r w:rsidRPr="00B536DB">
        <w:rPr>
          <w:rFonts w:ascii="Segoe UI" w:hAnsi="Segoe UI" w:cs="Segoe UI"/>
          <w:szCs w:val="22"/>
        </w:rPr>
        <w:t>Mw</w:t>
      </w:r>
      <w:proofErr w:type="spellEnd"/>
      <w:r w:rsidRPr="00B536DB">
        <w:rPr>
          <w:rFonts w:ascii="Segoe UI" w:hAnsi="Segoe UI" w:cs="Segoe UI"/>
          <w:szCs w:val="22"/>
        </w:rPr>
        <w:t xml:space="preserve"> V is al jaren erg moe en probeert af te vallen, maar dit lukt niet goed. Bij onderzoek blijkt er bij herhaling sprake van een subklinische </w:t>
      </w:r>
      <w:proofErr w:type="spellStart"/>
      <w:r w:rsidRPr="00B536DB">
        <w:rPr>
          <w:rFonts w:ascii="Segoe UI" w:hAnsi="Segoe UI" w:cs="Segoe UI"/>
          <w:szCs w:val="22"/>
        </w:rPr>
        <w:t>hypothyreoidie</w:t>
      </w:r>
      <w:proofErr w:type="spellEnd"/>
      <w:r w:rsidRPr="00B536DB">
        <w:rPr>
          <w:rFonts w:ascii="Segoe UI" w:hAnsi="Segoe UI" w:cs="Segoe UI"/>
          <w:szCs w:val="22"/>
        </w:rPr>
        <w:t xml:space="preserve">: TSH 10 en FT4 11. </w:t>
      </w:r>
    </w:p>
    <w:p w:rsidR="006E43BF" w:rsidRPr="00897FCF" w:rsidRDefault="00376719" w:rsidP="004F159F">
      <w:pPr>
        <w:rPr>
          <w:rFonts w:ascii="Segoe UI" w:hAnsi="Segoe UI" w:cs="Segoe UI"/>
          <w:b/>
          <w:szCs w:val="22"/>
        </w:rPr>
      </w:pPr>
      <w:r w:rsidRPr="00897FCF">
        <w:rPr>
          <w:rFonts w:ascii="Segoe UI" w:hAnsi="Segoe UI" w:cs="Segoe UI"/>
          <w:b/>
          <w:szCs w:val="22"/>
        </w:rPr>
        <w:t>-</w:t>
      </w:r>
      <w:r w:rsidR="009215E7" w:rsidRPr="00897FCF">
        <w:rPr>
          <w:rFonts w:ascii="Segoe UI" w:hAnsi="Segoe UI" w:cs="Segoe UI"/>
          <w:b/>
          <w:szCs w:val="22"/>
        </w:rPr>
        <w:t>Wat kun je mw</w:t>
      </w:r>
      <w:r w:rsidR="00A25AF0" w:rsidRPr="00897FCF">
        <w:rPr>
          <w:rFonts w:ascii="Segoe UI" w:hAnsi="Segoe UI" w:cs="Segoe UI"/>
          <w:b/>
          <w:szCs w:val="22"/>
        </w:rPr>
        <w:t>.</w:t>
      </w:r>
      <w:r w:rsidR="009215E7" w:rsidRPr="00897FCF">
        <w:rPr>
          <w:rFonts w:ascii="Segoe UI" w:hAnsi="Segoe UI" w:cs="Segoe UI"/>
          <w:b/>
          <w:szCs w:val="22"/>
        </w:rPr>
        <w:t xml:space="preserve"> vertellen over de kans dat ze een klinische hypo ontwikkeld?</w:t>
      </w:r>
    </w:p>
    <w:p w:rsidR="00897FCF" w:rsidRDefault="00897FCF" w:rsidP="004F159F">
      <w:pPr>
        <w:ind w:left="359"/>
        <w:rPr>
          <w:rFonts w:ascii="Segoe UI" w:hAnsi="Segoe UI" w:cs="Segoe UI"/>
          <w:szCs w:val="22"/>
        </w:rPr>
      </w:pPr>
      <w:r>
        <w:rPr>
          <w:rFonts w:ascii="Segoe UI" w:hAnsi="Segoe UI" w:cs="Segoe UI"/>
          <w:szCs w:val="22"/>
        </w:rPr>
        <w:t>Noot 33 van de standaard:</w:t>
      </w:r>
    </w:p>
    <w:p w:rsidR="00897FCF" w:rsidRPr="00897FCF" w:rsidRDefault="00897FCF" w:rsidP="004F159F">
      <w:pPr>
        <w:shd w:val="clear" w:color="auto" w:fill="FFFFFF"/>
        <w:spacing w:before="100" w:beforeAutospacing="1" w:after="100" w:afterAutospacing="1" w:line="270" w:lineRule="atLeast"/>
        <w:rPr>
          <w:rFonts w:ascii="Arial" w:eastAsia="Times New Roman" w:hAnsi="Arial" w:cs="Arial"/>
          <w:b/>
          <w:color w:val="292929"/>
          <w:sz w:val="21"/>
          <w:szCs w:val="21"/>
        </w:rPr>
      </w:pPr>
      <w:proofErr w:type="spellStart"/>
      <w:r w:rsidRPr="00897FCF">
        <w:rPr>
          <w:rFonts w:ascii="Arial" w:eastAsia="Times New Roman" w:hAnsi="Arial" w:cs="Arial"/>
          <w:color w:val="292929"/>
          <w:sz w:val="21"/>
          <w:szCs w:val="21"/>
        </w:rPr>
        <w:lastRenderedPageBreak/>
        <w:t>Meyerovitch</w:t>
      </w:r>
      <w:proofErr w:type="spellEnd"/>
      <w:r w:rsidRPr="00897FCF">
        <w:rPr>
          <w:rFonts w:ascii="Arial" w:eastAsia="Times New Roman" w:hAnsi="Arial" w:cs="Arial"/>
          <w:color w:val="292929"/>
          <w:sz w:val="21"/>
          <w:szCs w:val="21"/>
        </w:rPr>
        <w:t xml:space="preserve"> onderzocht in een retrospectief observationeel onderzoek het natuurlijke beloop van </w:t>
      </w:r>
      <w:proofErr w:type="spellStart"/>
      <w:r w:rsidRPr="00897FCF">
        <w:rPr>
          <w:rFonts w:ascii="Arial" w:eastAsia="Times New Roman" w:hAnsi="Arial" w:cs="Arial"/>
          <w:color w:val="292929"/>
          <w:sz w:val="21"/>
          <w:szCs w:val="21"/>
        </w:rPr>
        <w:t>euthyreoïdie</w:t>
      </w:r>
      <w:proofErr w:type="spellEnd"/>
      <w:r w:rsidRPr="00897FCF">
        <w:rPr>
          <w:rFonts w:ascii="Arial" w:eastAsia="Times New Roman" w:hAnsi="Arial" w:cs="Arial"/>
          <w:color w:val="292929"/>
          <w:sz w:val="21"/>
          <w:szCs w:val="21"/>
        </w:rPr>
        <w:t xml:space="preserve"> en subklinische hypo/hyperthyreoïdie bij </w:t>
      </w:r>
      <w:r w:rsidRPr="00897FCF">
        <w:rPr>
          <w:rFonts w:ascii="Arial" w:eastAsia="Times New Roman" w:hAnsi="Arial" w:cs="Arial"/>
          <w:b/>
          <w:color w:val="292929"/>
          <w:sz w:val="21"/>
          <w:szCs w:val="21"/>
        </w:rPr>
        <w:t xml:space="preserve">422.242 </w:t>
      </w:r>
      <w:proofErr w:type="spellStart"/>
      <w:r w:rsidRPr="00897FCF">
        <w:rPr>
          <w:rFonts w:ascii="Arial" w:eastAsia="Times New Roman" w:hAnsi="Arial" w:cs="Arial"/>
          <w:b/>
          <w:color w:val="292929"/>
          <w:sz w:val="21"/>
          <w:szCs w:val="21"/>
        </w:rPr>
        <w:t>Israëlische</w:t>
      </w:r>
      <w:proofErr w:type="spellEnd"/>
      <w:r w:rsidRPr="00897FCF">
        <w:rPr>
          <w:rFonts w:ascii="Arial" w:eastAsia="Times New Roman" w:hAnsi="Arial" w:cs="Arial"/>
          <w:color w:val="292929"/>
          <w:sz w:val="21"/>
          <w:szCs w:val="21"/>
        </w:rPr>
        <w:t xml:space="preserve"> patiënten zonder voorgeschiedenis van schildklieraandoeningen bij wie de huisarts op niet nader omschreven indicatie het TSH had bepaald. Na de eerste TSH-bepaling werd 3,6% van de patiënten behandeld voor een schildklieraandoening en niet meer meegenomen in de resultaten van het onderzoek. Van de overgebleven patiënten werd bij 346.549 over een </w:t>
      </w:r>
      <w:r w:rsidRPr="00897FCF">
        <w:rPr>
          <w:rFonts w:ascii="Arial" w:eastAsia="Times New Roman" w:hAnsi="Arial" w:cs="Arial"/>
          <w:b/>
          <w:color w:val="292929"/>
          <w:sz w:val="21"/>
          <w:szCs w:val="21"/>
        </w:rPr>
        <w:t>periode van 5</w:t>
      </w:r>
      <w:r w:rsidRPr="00897FCF">
        <w:rPr>
          <w:rFonts w:ascii="Arial" w:eastAsia="Times New Roman" w:hAnsi="Arial" w:cs="Arial"/>
          <w:color w:val="292929"/>
          <w:sz w:val="21"/>
          <w:szCs w:val="21"/>
        </w:rPr>
        <w:t xml:space="preserve"> jaar opnieuw het TSH bepaald (</w:t>
      </w:r>
      <w:r w:rsidRPr="00897FCF">
        <w:rPr>
          <w:rFonts w:ascii="Arial" w:eastAsia="Times New Roman" w:hAnsi="Arial" w:cs="Arial"/>
          <w:i/>
          <w:iCs/>
          <w:color w:val="292929"/>
          <w:sz w:val="21"/>
          <w:szCs w:val="21"/>
        </w:rPr>
        <w:t>tabel 5</w:t>
      </w:r>
      <w:r w:rsidRPr="00897FCF">
        <w:rPr>
          <w:rFonts w:ascii="Arial" w:eastAsia="Times New Roman" w:hAnsi="Arial" w:cs="Arial"/>
          <w:color w:val="292929"/>
          <w:sz w:val="21"/>
          <w:szCs w:val="21"/>
        </w:rPr>
        <w:t xml:space="preserve">). Bij de tweede meting was </w:t>
      </w:r>
      <w:r w:rsidRPr="00897FCF">
        <w:rPr>
          <w:rFonts w:ascii="Arial" w:eastAsia="Times New Roman" w:hAnsi="Arial" w:cs="Arial"/>
          <w:b/>
          <w:color w:val="292929"/>
          <w:sz w:val="21"/>
          <w:szCs w:val="21"/>
        </w:rPr>
        <w:t>bij 93% van de patiënten met een verhoogd TSH het vrije T</w:t>
      </w:r>
      <w:r w:rsidRPr="00897FCF">
        <w:rPr>
          <w:rFonts w:ascii="Arial" w:eastAsia="Times New Roman" w:hAnsi="Arial" w:cs="Arial"/>
          <w:b/>
          <w:color w:val="292929"/>
          <w:sz w:val="21"/>
          <w:szCs w:val="21"/>
          <w:vertAlign w:val="subscript"/>
        </w:rPr>
        <w:t>4</w:t>
      </w:r>
      <w:r w:rsidRPr="00897FCF">
        <w:rPr>
          <w:rFonts w:ascii="Arial" w:eastAsia="Times New Roman" w:hAnsi="Arial" w:cs="Arial"/>
          <w:color w:val="292929"/>
          <w:sz w:val="21"/>
          <w:szCs w:val="21"/>
        </w:rPr>
        <w:t xml:space="preserve"> normaal. Bij groep 1 (TSH &gt; 10 </w:t>
      </w:r>
      <w:proofErr w:type="spellStart"/>
      <w:r w:rsidRPr="00897FCF">
        <w:rPr>
          <w:rFonts w:ascii="Arial" w:eastAsia="Times New Roman" w:hAnsi="Arial" w:cs="Arial"/>
          <w:color w:val="292929"/>
          <w:sz w:val="21"/>
          <w:szCs w:val="21"/>
        </w:rPr>
        <w:t>mU</w:t>
      </w:r>
      <w:proofErr w:type="spellEnd"/>
      <w:r w:rsidRPr="00897FCF">
        <w:rPr>
          <w:rFonts w:ascii="Arial" w:eastAsia="Times New Roman" w:hAnsi="Arial" w:cs="Arial"/>
          <w:color w:val="292929"/>
          <w:sz w:val="21"/>
          <w:szCs w:val="21"/>
        </w:rPr>
        <w:t xml:space="preserve">/l) en groep 2 (TSH 5,5 tot 10 </w:t>
      </w:r>
      <w:proofErr w:type="spellStart"/>
      <w:r w:rsidRPr="00897FCF">
        <w:rPr>
          <w:rFonts w:ascii="Arial" w:eastAsia="Times New Roman" w:hAnsi="Arial" w:cs="Arial"/>
          <w:color w:val="292929"/>
          <w:sz w:val="21"/>
          <w:szCs w:val="21"/>
        </w:rPr>
        <w:t>mU</w:t>
      </w:r>
      <w:proofErr w:type="spellEnd"/>
      <w:r w:rsidRPr="00897FCF">
        <w:rPr>
          <w:rFonts w:ascii="Arial" w:eastAsia="Times New Roman" w:hAnsi="Arial" w:cs="Arial"/>
          <w:color w:val="292929"/>
          <w:sz w:val="21"/>
          <w:szCs w:val="21"/>
        </w:rPr>
        <w:t xml:space="preserve">/l) normaliseerde het TSH bij respectievelijk </w:t>
      </w:r>
      <w:r w:rsidRPr="00897FCF">
        <w:rPr>
          <w:rFonts w:ascii="Arial" w:eastAsia="Times New Roman" w:hAnsi="Arial" w:cs="Arial"/>
          <w:b/>
          <w:color w:val="292929"/>
          <w:sz w:val="21"/>
          <w:szCs w:val="21"/>
        </w:rPr>
        <w:t>27,7 en 62,1%</w:t>
      </w:r>
      <w:r w:rsidRPr="00897FCF">
        <w:rPr>
          <w:rFonts w:ascii="Arial" w:eastAsia="Times New Roman" w:hAnsi="Arial" w:cs="Arial"/>
          <w:color w:val="292929"/>
          <w:sz w:val="21"/>
          <w:szCs w:val="21"/>
        </w:rPr>
        <w:t xml:space="preserve"> van de patiënten. </w:t>
      </w:r>
      <w:proofErr w:type="spellStart"/>
      <w:r w:rsidRPr="00897FCF">
        <w:rPr>
          <w:rFonts w:ascii="Arial" w:eastAsia="Times New Roman" w:hAnsi="Arial" w:cs="Arial"/>
          <w:color w:val="292929"/>
          <w:sz w:val="21"/>
          <w:szCs w:val="21"/>
        </w:rPr>
        <w:t>Meyerovitch</w:t>
      </w:r>
      <w:proofErr w:type="spellEnd"/>
      <w:r w:rsidRPr="00897FCF">
        <w:rPr>
          <w:rFonts w:ascii="Arial" w:eastAsia="Times New Roman" w:hAnsi="Arial" w:cs="Arial"/>
          <w:color w:val="292929"/>
          <w:sz w:val="21"/>
          <w:szCs w:val="21"/>
        </w:rPr>
        <w:t xml:space="preserve"> concludeert dat hoe hoger het TSH bij de eerste bepaling, hoe groter de kans dat het verhoogde TSH persisteert. Een </w:t>
      </w:r>
      <w:proofErr w:type="spellStart"/>
      <w:r w:rsidRPr="00897FCF">
        <w:rPr>
          <w:rFonts w:ascii="Arial" w:eastAsia="Times New Roman" w:hAnsi="Arial" w:cs="Arial"/>
          <w:color w:val="292929"/>
          <w:sz w:val="21"/>
          <w:szCs w:val="21"/>
        </w:rPr>
        <w:t>subanalyse</w:t>
      </w:r>
      <w:proofErr w:type="spellEnd"/>
      <w:r w:rsidRPr="00897FCF">
        <w:rPr>
          <w:rFonts w:ascii="Arial" w:eastAsia="Times New Roman" w:hAnsi="Arial" w:cs="Arial"/>
          <w:color w:val="292929"/>
          <w:sz w:val="21"/>
          <w:szCs w:val="21"/>
        </w:rPr>
        <w:t xml:space="preserve"> van de groep met een TSH van 5,5 tot 10 </w:t>
      </w:r>
      <w:proofErr w:type="spellStart"/>
      <w:r w:rsidRPr="00897FCF">
        <w:rPr>
          <w:rFonts w:ascii="Arial" w:eastAsia="Times New Roman" w:hAnsi="Arial" w:cs="Arial"/>
          <w:color w:val="292929"/>
          <w:sz w:val="21"/>
          <w:szCs w:val="21"/>
        </w:rPr>
        <w:t>mU</w:t>
      </w:r>
      <w:proofErr w:type="spellEnd"/>
      <w:r w:rsidRPr="00897FCF">
        <w:rPr>
          <w:rFonts w:ascii="Arial" w:eastAsia="Times New Roman" w:hAnsi="Arial" w:cs="Arial"/>
          <w:color w:val="292929"/>
          <w:sz w:val="21"/>
          <w:szCs w:val="21"/>
        </w:rPr>
        <w:t xml:space="preserve">/l liet zien dat bij een </w:t>
      </w:r>
      <w:r w:rsidRPr="00897FCF">
        <w:rPr>
          <w:rFonts w:ascii="Arial" w:eastAsia="Times New Roman" w:hAnsi="Arial" w:cs="Arial"/>
          <w:b/>
          <w:color w:val="292929"/>
          <w:sz w:val="21"/>
          <w:szCs w:val="21"/>
        </w:rPr>
        <w:t xml:space="preserve">TSH &lt; 6,1 </w:t>
      </w:r>
      <w:proofErr w:type="spellStart"/>
      <w:r w:rsidRPr="00897FCF">
        <w:rPr>
          <w:rFonts w:ascii="Arial" w:eastAsia="Times New Roman" w:hAnsi="Arial" w:cs="Arial"/>
          <w:b/>
          <w:color w:val="292929"/>
          <w:sz w:val="21"/>
          <w:szCs w:val="21"/>
        </w:rPr>
        <w:t>mU</w:t>
      </w:r>
      <w:proofErr w:type="spellEnd"/>
      <w:r w:rsidRPr="00897FCF">
        <w:rPr>
          <w:rFonts w:ascii="Arial" w:eastAsia="Times New Roman" w:hAnsi="Arial" w:cs="Arial"/>
          <w:b/>
          <w:color w:val="292929"/>
          <w:sz w:val="21"/>
          <w:szCs w:val="21"/>
        </w:rPr>
        <w:t>/l de kans op stijging van het TSH kleiner dan 1% is.</w:t>
      </w:r>
    </w:p>
    <w:p w:rsidR="00897FCF" w:rsidRPr="00897FCF" w:rsidRDefault="00897FCF" w:rsidP="004F159F">
      <w:pPr>
        <w:shd w:val="clear" w:color="auto" w:fill="FFFFFF"/>
        <w:spacing w:before="100" w:beforeAutospacing="1" w:after="100" w:afterAutospacing="1" w:line="270" w:lineRule="atLeast"/>
        <w:rPr>
          <w:rFonts w:ascii="Arial" w:eastAsia="Times New Roman" w:hAnsi="Arial" w:cs="Arial"/>
          <w:color w:val="292929"/>
          <w:sz w:val="21"/>
          <w:szCs w:val="21"/>
        </w:rPr>
      </w:pPr>
      <w:r w:rsidRPr="00897FCF">
        <w:rPr>
          <w:rFonts w:ascii="Arial" w:eastAsia="Times New Roman" w:hAnsi="Arial" w:cs="Arial"/>
          <w:color w:val="292929"/>
          <w:sz w:val="21"/>
          <w:szCs w:val="21"/>
        </w:rPr>
        <w:t>Tabel 5 Beloop TSH [</w:t>
      </w:r>
      <w:proofErr w:type="spellStart"/>
      <w:r w:rsidRPr="00897FCF">
        <w:rPr>
          <w:rFonts w:ascii="Arial" w:eastAsia="Times New Roman" w:hAnsi="Arial" w:cs="Arial"/>
          <w:color w:val="292929"/>
          <w:sz w:val="21"/>
          <w:szCs w:val="21"/>
        </w:rPr>
        <w:t>Meyerovitch</w:t>
      </w:r>
      <w:proofErr w:type="spellEnd"/>
      <w:r w:rsidRPr="00897FCF">
        <w:rPr>
          <w:rFonts w:ascii="Arial" w:eastAsia="Times New Roman" w:hAnsi="Arial" w:cs="Arial"/>
          <w:color w:val="292929"/>
          <w:sz w:val="21"/>
          <w:szCs w:val="21"/>
        </w:rPr>
        <w:t xml:space="preserve"> 2007]</w:t>
      </w:r>
    </w:p>
    <w:tbl>
      <w:tblPr>
        <w:tblW w:w="5000" w:type="pct"/>
        <w:tblCellSpacing w:w="15" w:type="dxa"/>
        <w:tblInd w:w="-36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92"/>
        <w:gridCol w:w="1228"/>
        <w:gridCol w:w="1426"/>
        <w:gridCol w:w="1618"/>
        <w:gridCol w:w="1436"/>
      </w:tblGrid>
      <w:tr w:rsidR="00897FCF" w:rsidRPr="00897FCF" w:rsidTr="004F159F">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i/>
                <w:iCs/>
                <w:color w:val="auto"/>
                <w:sz w:val="20"/>
              </w:rPr>
              <w:t>Uitgangswaarde</w:t>
            </w:r>
          </w:p>
        </w:tc>
        <w:tc>
          <w:tcPr>
            <w:tcW w:w="0" w:type="auto"/>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i/>
                <w:iCs/>
                <w:color w:val="auto"/>
                <w:sz w:val="20"/>
              </w:rPr>
              <w:t>TSH bij de 2</w:t>
            </w:r>
            <w:r w:rsidRPr="00897FCF">
              <w:rPr>
                <w:rFonts w:ascii="Arial" w:eastAsia="Times New Roman" w:hAnsi="Arial" w:cs="Arial"/>
                <w:i/>
                <w:iCs/>
                <w:color w:val="auto"/>
                <w:sz w:val="14"/>
                <w:szCs w:val="14"/>
                <w:vertAlign w:val="superscript"/>
              </w:rPr>
              <w:t>e</w:t>
            </w:r>
            <w:r w:rsidRPr="00897FCF">
              <w:rPr>
                <w:rFonts w:ascii="Arial" w:eastAsia="Times New Roman" w:hAnsi="Arial" w:cs="Arial"/>
                <w:i/>
                <w:iCs/>
                <w:color w:val="auto"/>
                <w:sz w:val="20"/>
              </w:rPr>
              <w:t xml:space="preserve"> meting</w:t>
            </w:r>
          </w:p>
        </w:tc>
      </w:tr>
      <w:tr w:rsidR="00897FCF" w:rsidRPr="00897FCF" w:rsidTr="004F159F">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Groepen (totaal = 346.549)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 xml:space="preserve">&gt; 10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 xml:space="preserve">5,5-10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 xml:space="preserve">0,35-5,5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 xml:space="preserve">&lt; 0,35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w:t>
            </w:r>
          </w:p>
        </w:tc>
      </w:tr>
      <w:tr w:rsidR="00897FCF" w:rsidRPr="00897FCF" w:rsidTr="004F159F">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numPr>
                <w:ilvl w:val="0"/>
                <w:numId w:val="15"/>
              </w:numPr>
              <w:spacing w:before="100" w:beforeAutospacing="1" w:after="100" w:afterAutospacing="1" w:line="270" w:lineRule="atLeast"/>
              <w:ind w:left="225"/>
              <w:rPr>
                <w:rFonts w:ascii="Arial" w:eastAsia="Times New Roman" w:hAnsi="Arial" w:cs="Arial"/>
                <w:color w:val="auto"/>
                <w:sz w:val="20"/>
              </w:rPr>
            </w:pPr>
            <w:r w:rsidRPr="00897FCF">
              <w:rPr>
                <w:rFonts w:ascii="Arial" w:eastAsia="Times New Roman" w:hAnsi="Arial" w:cs="Arial"/>
                <w:color w:val="auto"/>
                <w:sz w:val="20"/>
              </w:rPr>
              <w:t xml:space="preserve">1 TSH &gt; 10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 (n = 669)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35,4%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36,5%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27,7%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0,4%</w:t>
            </w:r>
          </w:p>
        </w:tc>
      </w:tr>
      <w:tr w:rsidR="00897FCF" w:rsidRPr="00897FCF" w:rsidTr="004F159F">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numPr>
                <w:ilvl w:val="0"/>
                <w:numId w:val="16"/>
              </w:numPr>
              <w:spacing w:before="100" w:beforeAutospacing="1" w:after="100" w:afterAutospacing="1" w:line="270" w:lineRule="atLeast"/>
              <w:ind w:left="225"/>
              <w:rPr>
                <w:rFonts w:ascii="Arial" w:eastAsia="Times New Roman" w:hAnsi="Arial" w:cs="Arial"/>
                <w:color w:val="auto"/>
                <w:sz w:val="20"/>
              </w:rPr>
            </w:pPr>
            <w:r w:rsidRPr="00897FCF">
              <w:rPr>
                <w:rFonts w:ascii="Arial" w:eastAsia="Times New Roman" w:hAnsi="Arial" w:cs="Arial"/>
                <w:color w:val="auto"/>
                <w:sz w:val="20"/>
              </w:rPr>
              <w:t xml:space="preserve">2 TSH 5,5-10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 (n = 7533)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b/>
                <w:color w:val="auto"/>
                <w:sz w:val="20"/>
              </w:rPr>
            </w:pPr>
            <w:r w:rsidRPr="00897FCF">
              <w:rPr>
                <w:rFonts w:ascii="Arial" w:eastAsia="Times New Roman" w:hAnsi="Arial" w:cs="Arial"/>
                <w:b/>
                <w:color w:val="auto"/>
                <w:sz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b/>
                <w:color w:val="auto"/>
                <w:sz w:val="20"/>
              </w:rPr>
            </w:pPr>
            <w:r w:rsidRPr="00897FCF">
              <w:rPr>
                <w:rFonts w:ascii="Arial" w:eastAsia="Times New Roman" w:hAnsi="Arial" w:cs="Arial"/>
                <w:b/>
                <w:color w:val="auto"/>
                <w:sz w:val="20"/>
              </w:rPr>
              <w:t>34,6%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62,1%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0,3%</w:t>
            </w:r>
          </w:p>
        </w:tc>
      </w:tr>
      <w:tr w:rsidR="00897FCF" w:rsidRPr="00897FCF" w:rsidTr="004F159F">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numPr>
                <w:ilvl w:val="0"/>
                <w:numId w:val="17"/>
              </w:numPr>
              <w:spacing w:before="100" w:beforeAutospacing="1" w:after="100" w:afterAutospacing="1" w:line="270" w:lineRule="atLeast"/>
              <w:ind w:left="225"/>
              <w:rPr>
                <w:rFonts w:ascii="Arial" w:eastAsia="Times New Roman" w:hAnsi="Arial" w:cs="Arial"/>
                <w:color w:val="auto"/>
                <w:sz w:val="20"/>
              </w:rPr>
            </w:pPr>
            <w:r w:rsidRPr="00897FCF">
              <w:rPr>
                <w:rFonts w:ascii="Arial" w:eastAsia="Times New Roman" w:hAnsi="Arial" w:cs="Arial"/>
                <w:color w:val="auto"/>
                <w:sz w:val="20"/>
              </w:rPr>
              <w:t xml:space="preserve">3 TSH 0,35-5,5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 (n = 334.572)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0,1%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98,0%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0,6%</w:t>
            </w:r>
          </w:p>
        </w:tc>
      </w:tr>
      <w:tr w:rsidR="00897FCF" w:rsidRPr="00897FCF" w:rsidTr="004F159F">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numPr>
                <w:ilvl w:val="0"/>
                <w:numId w:val="18"/>
              </w:numPr>
              <w:spacing w:before="100" w:beforeAutospacing="1" w:after="100" w:afterAutospacing="1" w:line="270" w:lineRule="atLeast"/>
              <w:ind w:left="225"/>
              <w:rPr>
                <w:rFonts w:ascii="Arial" w:eastAsia="Times New Roman" w:hAnsi="Arial" w:cs="Arial"/>
                <w:color w:val="auto"/>
                <w:sz w:val="20"/>
              </w:rPr>
            </w:pPr>
            <w:r w:rsidRPr="00897FCF">
              <w:rPr>
                <w:rFonts w:ascii="Arial" w:eastAsia="Times New Roman" w:hAnsi="Arial" w:cs="Arial"/>
                <w:color w:val="auto"/>
                <w:sz w:val="20"/>
              </w:rPr>
              <w:t xml:space="preserve">4 TSH &lt; 0,35 </w:t>
            </w:r>
            <w:proofErr w:type="spellStart"/>
            <w:r w:rsidRPr="00897FCF">
              <w:rPr>
                <w:rFonts w:ascii="Arial" w:eastAsia="Times New Roman" w:hAnsi="Arial" w:cs="Arial"/>
                <w:color w:val="auto"/>
                <w:sz w:val="20"/>
              </w:rPr>
              <w:t>mU</w:t>
            </w:r>
            <w:proofErr w:type="spellEnd"/>
            <w:r w:rsidRPr="00897FCF">
              <w:rPr>
                <w:rFonts w:ascii="Arial" w:eastAsia="Times New Roman" w:hAnsi="Arial" w:cs="Arial"/>
                <w:color w:val="auto"/>
                <w:sz w:val="20"/>
              </w:rPr>
              <w:t>/l (n = 3775)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0,6%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51,5%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7FCF" w:rsidRPr="00897FCF" w:rsidRDefault="00897FCF" w:rsidP="00897FCF">
            <w:pPr>
              <w:spacing w:after="0" w:line="240" w:lineRule="auto"/>
              <w:rPr>
                <w:rFonts w:ascii="Arial" w:eastAsia="Times New Roman" w:hAnsi="Arial" w:cs="Arial"/>
                <w:color w:val="auto"/>
                <w:sz w:val="20"/>
              </w:rPr>
            </w:pPr>
            <w:r w:rsidRPr="00897FCF">
              <w:rPr>
                <w:rFonts w:ascii="Arial" w:eastAsia="Times New Roman" w:hAnsi="Arial" w:cs="Arial"/>
                <w:color w:val="auto"/>
                <w:sz w:val="20"/>
              </w:rPr>
              <w:t>46,7%</w:t>
            </w:r>
          </w:p>
        </w:tc>
      </w:tr>
    </w:tbl>
    <w:p w:rsidR="00897FCF" w:rsidRPr="00897FCF" w:rsidRDefault="00897FCF" w:rsidP="004F159F">
      <w:pPr>
        <w:shd w:val="clear" w:color="auto" w:fill="FFFFFF"/>
        <w:spacing w:before="100" w:beforeAutospacing="1" w:after="100" w:afterAutospacing="1" w:line="270" w:lineRule="atLeast"/>
        <w:rPr>
          <w:rFonts w:ascii="Arial" w:eastAsia="Times New Roman" w:hAnsi="Arial" w:cs="Arial"/>
          <w:color w:val="292929"/>
          <w:sz w:val="21"/>
          <w:szCs w:val="21"/>
        </w:rPr>
      </w:pPr>
      <w:r w:rsidRPr="00897FCF">
        <w:rPr>
          <w:rFonts w:ascii="Arial" w:eastAsia="Times New Roman" w:hAnsi="Arial" w:cs="Arial"/>
          <w:color w:val="292929"/>
          <w:sz w:val="21"/>
          <w:szCs w:val="21"/>
        </w:rPr>
        <w:t xml:space="preserve">Huber onderzocht prospectief bij </w:t>
      </w:r>
      <w:r w:rsidRPr="00897FCF">
        <w:rPr>
          <w:rFonts w:ascii="Arial" w:eastAsia="Times New Roman" w:hAnsi="Arial" w:cs="Arial"/>
          <w:b/>
          <w:color w:val="292929"/>
          <w:sz w:val="21"/>
          <w:szCs w:val="21"/>
        </w:rPr>
        <w:t>82 vrouwen</w:t>
      </w:r>
      <w:r w:rsidRPr="00897FCF">
        <w:rPr>
          <w:rFonts w:ascii="Arial" w:eastAsia="Times New Roman" w:hAnsi="Arial" w:cs="Arial"/>
          <w:color w:val="292929"/>
          <w:sz w:val="21"/>
          <w:szCs w:val="21"/>
        </w:rPr>
        <w:t xml:space="preserve"> (gemiddelde leeftijd 50,7 jaar ± 1,4 jaar; 2</w:t>
      </w:r>
      <w:r w:rsidRPr="00897FCF">
        <w:rPr>
          <w:rFonts w:ascii="Arial" w:eastAsia="Times New Roman" w:hAnsi="Arial" w:cs="Arial"/>
          <w:color w:val="292929"/>
          <w:sz w:val="14"/>
          <w:szCs w:val="14"/>
          <w:vertAlign w:val="superscript"/>
        </w:rPr>
        <w:t>e</w:t>
      </w:r>
      <w:r w:rsidRPr="00897FCF">
        <w:rPr>
          <w:rFonts w:ascii="Arial" w:eastAsia="Times New Roman" w:hAnsi="Arial" w:cs="Arial"/>
          <w:color w:val="292929"/>
          <w:sz w:val="21"/>
          <w:szCs w:val="21"/>
        </w:rPr>
        <w:t xml:space="preserve"> lijn; follow-</w:t>
      </w:r>
      <w:r w:rsidRPr="00897FCF">
        <w:rPr>
          <w:rFonts w:ascii="Arial" w:eastAsia="Times New Roman" w:hAnsi="Arial" w:cs="Arial"/>
          <w:b/>
          <w:color w:val="292929"/>
          <w:sz w:val="21"/>
          <w:szCs w:val="21"/>
        </w:rPr>
        <w:t>up 9,2 jaar</w:t>
      </w:r>
      <w:r w:rsidRPr="00897FCF">
        <w:rPr>
          <w:rFonts w:ascii="Arial" w:eastAsia="Times New Roman" w:hAnsi="Arial" w:cs="Arial"/>
          <w:color w:val="292929"/>
          <w:sz w:val="21"/>
          <w:szCs w:val="21"/>
        </w:rPr>
        <w:t xml:space="preserve">) het natuurlijke beloop van een subklinische hypothyreoïdie. De onderliggende oorzaken waren de ziekte van Graves (n = 42), </w:t>
      </w:r>
      <w:proofErr w:type="spellStart"/>
      <w:r w:rsidRPr="00897FCF">
        <w:rPr>
          <w:rFonts w:ascii="Arial" w:eastAsia="Times New Roman" w:hAnsi="Arial" w:cs="Arial"/>
          <w:color w:val="292929"/>
          <w:sz w:val="21"/>
          <w:szCs w:val="21"/>
        </w:rPr>
        <w:t>thyreoïditis</w:t>
      </w:r>
      <w:proofErr w:type="spellEnd"/>
      <w:r w:rsidRPr="00897FCF">
        <w:rPr>
          <w:rFonts w:ascii="Arial" w:eastAsia="Times New Roman" w:hAnsi="Arial" w:cs="Arial"/>
          <w:color w:val="292929"/>
          <w:sz w:val="21"/>
          <w:szCs w:val="21"/>
        </w:rPr>
        <w:t xml:space="preserve"> van Hashimoto (n = 29) en struma (n = 11). Tweeënveertig </w:t>
      </w:r>
      <w:r w:rsidRPr="00897FCF">
        <w:rPr>
          <w:rFonts w:ascii="Arial" w:eastAsia="Times New Roman" w:hAnsi="Arial" w:cs="Arial"/>
          <w:b/>
          <w:color w:val="292929"/>
          <w:sz w:val="21"/>
          <w:szCs w:val="21"/>
        </w:rPr>
        <w:t>(51%) patiënten waren positief voor anti-TPO,</w:t>
      </w:r>
      <w:r w:rsidRPr="00897FCF">
        <w:rPr>
          <w:rFonts w:ascii="Arial" w:eastAsia="Times New Roman" w:hAnsi="Arial" w:cs="Arial"/>
          <w:color w:val="292929"/>
          <w:sz w:val="21"/>
          <w:szCs w:val="21"/>
        </w:rPr>
        <w:t xml:space="preserve"> 23 (28%) patiënten ontwikkelden een klinische hypothyreoïdie, 65 (</w:t>
      </w:r>
      <w:r w:rsidRPr="00897FCF">
        <w:rPr>
          <w:rFonts w:ascii="Arial" w:eastAsia="Times New Roman" w:hAnsi="Arial" w:cs="Arial"/>
          <w:b/>
          <w:color w:val="292929"/>
          <w:sz w:val="21"/>
          <w:szCs w:val="21"/>
        </w:rPr>
        <w:t>68%) patiënten bleven subklinisch</w:t>
      </w:r>
      <w:r w:rsidRPr="00897FCF">
        <w:rPr>
          <w:rFonts w:ascii="Arial" w:eastAsia="Times New Roman" w:hAnsi="Arial" w:cs="Arial"/>
          <w:color w:val="292929"/>
          <w:sz w:val="21"/>
          <w:szCs w:val="21"/>
        </w:rPr>
        <w:t xml:space="preserve">, en 3 (4%) patiënten werden euthyreoot. </w:t>
      </w:r>
      <w:r w:rsidRPr="00897FCF">
        <w:rPr>
          <w:rFonts w:ascii="Arial" w:eastAsia="Times New Roman" w:hAnsi="Arial" w:cs="Arial"/>
          <w:b/>
          <w:color w:val="292929"/>
          <w:sz w:val="21"/>
          <w:szCs w:val="21"/>
          <w:u w:val="single"/>
        </w:rPr>
        <w:t>Huber concludeert dat de hoogte van het TSH en aanwezigheid van anti-TPO onafhankelijke risicofactoren zijn voor het ontwikkelen van een klinische hypothyreoïdie</w:t>
      </w:r>
      <w:r w:rsidRPr="00897FCF">
        <w:rPr>
          <w:rFonts w:ascii="Arial" w:eastAsia="Times New Roman" w:hAnsi="Arial" w:cs="Arial"/>
          <w:color w:val="292929"/>
          <w:sz w:val="21"/>
          <w:szCs w:val="21"/>
        </w:rPr>
        <w:t xml:space="preserve"> en dat een TSH vanaf 12 </w:t>
      </w:r>
      <w:proofErr w:type="spellStart"/>
      <w:r w:rsidRPr="00897FCF">
        <w:rPr>
          <w:rFonts w:ascii="Arial" w:eastAsia="Times New Roman" w:hAnsi="Arial" w:cs="Arial"/>
          <w:color w:val="292929"/>
          <w:sz w:val="21"/>
          <w:szCs w:val="21"/>
        </w:rPr>
        <w:t>mU</w:t>
      </w:r>
      <w:proofErr w:type="spellEnd"/>
      <w:r w:rsidRPr="00897FCF">
        <w:rPr>
          <w:rFonts w:ascii="Arial" w:eastAsia="Times New Roman" w:hAnsi="Arial" w:cs="Arial"/>
          <w:color w:val="292929"/>
          <w:sz w:val="21"/>
          <w:szCs w:val="21"/>
        </w:rPr>
        <w:t>/l een klinisch relevante kans geeft om een klinische hypothyreoïdie te ontwikkelen: per jaar is de kans voor vrouwen 11,4% (± 3,0%), deze kans is cumulatief. Leeftijd als risicofactor voor ontwikkeling van een hypothyreoïdie is niet onderzocht.</w:t>
      </w:r>
    </w:p>
    <w:p w:rsidR="00897FCF" w:rsidRPr="00897FCF" w:rsidRDefault="00897FCF" w:rsidP="004F159F">
      <w:pPr>
        <w:shd w:val="clear" w:color="auto" w:fill="FFFFFF"/>
        <w:spacing w:before="100" w:beforeAutospacing="1" w:after="100" w:afterAutospacing="1" w:line="270" w:lineRule="atLeast"/>
        <w:rPr>
          <w:rFonts w:ascii="Arial" w:eastAsia="Times New Roman" w:hAnsi="Arial" w:cs="Arial"/>
          <w:color w:val="292929"/>
          <w:sz w:val="21"/>
          <w:szCs w:val="21"/>
        </w:rPr>
      </w:pPr>
      <w:proofErr w:type="spellStart"/>
      <w:r w:rsidRPr="00897FCF">
        <w:rPr>
          <w:rFonts w:ascii="Arial" w:eastAsia="Times New Roman" w:hAnsi="Arial" w:cs="Arial"/>
          <w:color w:val="292929"/>
          <w:sz w:val="21"/>
          <w:szCs w:val="21"/>
        </w:rPr>
        <w:t>Diez</w:t>
      </w:r>
      <w:proofErr w:type="spellEnd"/>
      <w:r w:rsidRPr="00897FCF">
        <w:rPr>
          <w:rFonts w:ascii="Arial" w:eastAsia="Times New Roman" w:hAnsi="Arial" w:cs="Arial"/>
          <w:color w:val="292929"/>
          <w:sz w:val="21"/>
          <w:szCs w:val="21"/>
        </w:rPr>
        <w:t xml:space="preserve"> verrichtte een prospectief cohortonderzoek (n = 107; gemiddelde follow-up 31 maanden) bij </w:t>
      </w:r>
      <w:r w:rsidRPr="00897FCF">
        <w:rPr>
          <w:rFonts w:ascii="Arial" w:eastAsia="Times New Roman" w:hAnsi="Arial" w:cs="Arial"/>
          <w:b/>
          <w:color w:val="292929"/>
          <w:sz w:val="21"/>
          <w:szCs w:val="21"/>
        </w:rPr>
        <w:t>tweedelijnspatiënten ouder dan 55 jaar met subklinische hypothyreoïdie</w:t>
      </w:r>
      <w:r w:rsidRPr="00897FCF">
        <w:rPr>
          <w:rFonts w:ascii="Arial" w:eastAsia="Times New Roman" w:hAnsi="Arial" w:cs="Arial"/>
          <w:color w:val="292929"/>
          <w:sz w:val="21"/>
          <w:szCs w:val="21"/>
        </w:rPr>
        <w:t xml:space="preserve">. Een TSH tussen de </w:t>
      </w:r>
      <w:r w:rsidRPr="00897FCF">
        <w:rPr>
          <w:rFonts w:ascii="Arial" w:eastAsia="Times New Roman" w:hAnsi="Arial" w:cs="Arial"/>
          <w:b/>
          <w:color w:val="292929"/>
          <w:sz w:val="21"/>
          <w:szCs w:val="21"/>
        </w:rPr>
        <w:t xml:space="preserve">10 tot 15 </w:t>
      </w:r>
      <w:proofErr w:type="spellStart"/>
      <w:r w:rsidRPr="00897FCF">
        <w:rPr>
          <w:rFonts w:ascii="Arial" w:eastAsia="Times New Roman" w:hAnsi="Arial" w:cs="Arial"/>
          <w:b/>
          <w:color w:val="292929"/>
          <w:sz w:val="21"/>
          <w:szCs w:val="21"/>
        </w:rPr>
        <w:t>mU</w:t>
      </w:r>
      <w:proofErr w:type="spellEnd"/>
      <w:r w:rsidRPr="00897FCF">
        <w:rPr>
          <w:rFonts w:ascii="Arial" w:eastAsia="Times New Roman" w:hAnsi="Arial" w:cs="Arial"/>
          <w:b/>
          <w:color w:val="292929"/>
          <w:sz w:val="21"/>
          <w:szCs w:val="21"/>
        </w:rPr>
        <w:t>/l gaf een kans van 19,7% per</w:t>
      </w:r>
      <w:r w:rsidRPr="00897FCF">
        <w:rPr>
          <w:rFonts w:ascii="Arial" w:eastAsia="Times New Roman" w:hAnsi="Arial" w:cs="Arial"/>
          <w:color w:val="292929"/>
          <w:sz w:val="21"/>
          <w:szCs w:val="21"/>
        </w:rPr>
        <w:t xml:space="preserve"> jaar op het ontwikkelen van een klinische hypothyreoïdie. De aanwezigheid van klinische symptomen gaf een kans van 17,2% per jaar en een laag-normaal vrije T4 (9,7 tot 12,8 </w:t>
      </w:r>
      <w:proofErr w:type="spellStart"/>
      <w:r w:rsidRPr="00897FCF">
        <w:rPr>
          <w:rFonts w:ascii="Arial" w:eastAsia="Times New Roman" w:hAnsi="Arial" w:cs="Arial"/>
          <w:color w:val="292929"/>
          <w:sz w:val="21"/>
          <w:szCs w:val="21"/>
        </w:rPr>
        <w:t>pmol</w:t>
      </w:r>
      <w:proofErr w:type="spellEnd"/>
      <w:r w:rsidRPr="00897FCF">
        <w:rPr>
          <w:rFonts w:ascii="Arial" w:eastAsia="Times New Roman" w:hAnsi="Arial" w:cs="Arial"/>
          <w:color w:val="292929"/>
          <w:sz w:val="21"/>
          <w:szCs w:val="21"/>
        </w:rPr>
        <w:t>/l) gaf een kans van 18,0% per jaar op het ontwikkelen van een klinische hypothyreoïdie.</w:t>
      </w:r>
    </w:p>
    <w:p w:rsidR="00897FCF" w:rsidRPr="00897FCF" w:rsidRDefault="00897FCF" w:rsidP="004F159F">
      <w:pPr>
        <w:rPr>
          <w:rFonts w:ascii="Segoe UI" w:hAnsi="Segoe UI" w:cs="Segoe UI"/>
          <w:b/>
          <w:szCs w:val="22"/>
        </w:rPr>
      </w:pPr>
      <w:r w:rsidRPr="00897FCF">
        <w:rPr>
          <w:rFonts w:ascii="Segoe UI" w:hAnsi="Segoe UI" w:cs="Segoe UI"/>
          <w:b/>
          <w:szCs w:val="22"/>
        </w:rPr>
        <w:lastRenderedPageBreak/>
        <w:t xml:space="preserve">Internistenrichtlijn is redelijk vergelijkbaar: </w:t>
      </w:r>
    </w:p>
    <w:p w:rsidR="00A25AF0" w:rsidRPr="00A25AF0" w:rsidRDefault="00A25AF0" w:rsidP="004F159F">
      <w:pPr>
        <w:rPr>
          <w:rFonts w:ascii="Segoe UI" w:hAnsi="Segoe UI" w:cs="Segoe UI"/>
          <w:szCs w:val="22"/>
        </w:rPr>
      </w:pPr>
      <w:r w:rsidRPr="00A25AF0">
        <w:rPr>
          <w:rFonts w:ascii="Segoe UI" w:hAnsi="Segoe UI" w:cs="Segoe UI"/>
          <w:szCs w:val="22"/>
        </w:rPr>
        <w:t>Hangt af van hoogte TSH en aanwezigheid anti-TPO</w:t>
      </w:r>
      <w:r>
        <w:rPr>
          <w:rFonts w:ascii="Segoe UI" w:hAnsi="Segoe UI" w:cs="Segoe UI"/>
          <w:szCs w:val="22"/>
        </w:rPr>
        <w:t xml:space="preserve">: </w:t>
      </w:r>
    </w:p>
    <w:p w:rsidR="00A25AF0" w:rsidRPr="00897FCF" w:rsidRDefault="00A25AF0" w:rsidP="004F159F">
      <w:pPr>
        <w:pStyle w:val="Lijstalinea"/>
        <w:numPr>
          <w:ilvl w:val="0"/>
          <w:numId w:val="9"/>
        </w:numPr>
        <w:ind w:left="359"/>
        <w:rPr>
          <w:rFonts w:cs="Segoe UI"/>
          <w:lang w:val="nl-NL"/>
        </w:rPr>
      </w:pPr>
      <w:r w:rsidRPr="00897FCF">
        <w:rPr>
          <w:rFonts w:cs="Segoe UI"/>
          <w:lang w:val="nl-NL"/>
        </w:rPr>
        <w:t>TSH &lt;6: risico gelijk aan normale bevolking</w:t>
      </w:r>
    </w:p>
    <w:p w:rsidR="00A25AF0" w:rsidRPr="00A25AF0" w:rsidRDefault="00A25AF0" w:rsidP="004F159F">
      <w:pPr>
        <w:pStyle w:val="Lijstalinea"/>
        <w:numPr>
          <w:ilvl w:val="0"/>
          <w:numId w:val="9"/>
        </w:numPr>
        <w:ind w:left="359"/>
        <w:rPr>
          <w:rFonts w:cs="Segoe UI"/>
        </w:rPr>
      </w:pPr>
      <w:r w:rsidRPr="00A25AF0">
        <w:rPr>
          <w:rFonts w:cs="Segoe UI"/>
        </w:rPr>
        <w:t xml:space="preserve">TSH 6-12: 43% </w:t>
      </w:r>
    </w:p>
    <w:p w:rsidR="00A25AF0" w:rsidRDefault="00A25AF0" w:rsidP="004F159F">
      <w:pPr>
        <w:pStyle w:val="Lijstalinea"/>
        <w:numPr>
          <w:ilvl w:val="0"/>
          <w:numId w:val="9"/>
        </w:numPr>
        <w:ind w:left="359"/>
        <w:rPr>
          <w:rFonts w:cs="Segoe UI"/>
        </w:rPr>
      </w:pPr>
      <w:r w:rsidRPr="00A25AF0">
        <w:rPr>
          <w:rFonts w:cs="Segoe UI"/>
        </w:rPr>
        <w:t>TSH &gt;12: 77%</w:t>
      </w:r>
    </w:p>
    <w:p w:rsidR="00A25AF0" w:rsidRPr="00A25AF0" w:rsidRDefault="00A25AF0" w:rsidP="004F159F">
      <w:pPr>
        <w:pStyle w:val="Lijstalinea"/>
        <w:ind w:left="0"/>
        <w:rPr>
          <w:rFonts w:cs="Segoe UI"/>
          <w:lang w:val="nl-NL"/>
        </w:rPr>
      </w:pPr>
      <w:r w:rsidRPr="00A25AF0">
        <w:rPr>
          <w:rFonts w:cs="Segoe UI"/>
          <w:lang w:val="nl-NL"/>
        </w:rPr>
        <w:t xml:space="preserve">Internisten richtlijn: TSH &gt;6 alles bij elkaar 33 % na 10 </w:t>
      </w:r>
      <w:proofErr w:type="spellStart"/>
      <w:r w:rsidRPr="00A25AF0">
        <w:rPr>
          <w:rFonts w:cs="Segoe UI"/>
          <w:lang w:val="nl-NL"/>
        </w:rPr>
        <w:t>jr</w:t>
      </w:r>
      <w:proofErr w:type="spellEnd"/>
      <w:r w:rsidRPr="00A25AF0">
        <w:rPr>
          <w:rFonts w:cs="Segoe UI"/>
          <w:lang w:val="nl-NL"/>
        </w:rPr>
        <w:t xml:space="preserve"> hypothyr</w:t>
      </w:r>
      <w:r>
        <w:rPr>
          <w:rFonts w:cs="Segoe UI"/>
          <w:lang w:val="nl-NL"/>
        </w:rPr>
        <w:t>eodie</w:t>
      </w:r>
      <w:r w:rsidRPr="00A25AF0">
        <w:rPr>
          <w:rFonts w:cs="Segoe UI"/>
          <w:lang w:val="nl-NL"/>
        </w:rPr>
        <w:t>, en als er ook nog anti</w:t>
      </w:r>
      <w:r>
        <w:rPr>
          <w:rFonts w:cs="Segoe UI"/>
          <w:lang w:val="nl-NL"/>
        </w:rPr>
        <w:t>-</w:t>
      </w:r>
      <w:r w:rsidRPr="00A25AF0">
        <w:rPr>
          <w:rFonts w:cs="Segoe UI"/>
          <w:lang w:val="nl-NL"/>
        </w:rPr>
        <w:t>TPO a</w:t>
      </w:r>
      <w:r>
        <w:rPr>
          <w:rFonts w:cs="Segoe UI"/>
          <w:lang w:val="nl-NL"/>
        </w:rPr>
        <w:t>ntistoffen</w:t>
      </w:r>
      <w:r w:rsidRPr="00A25AF0">
        <w:rPr>
          <w:rFonts w:cs="Segoe UI"/>
          <w:lang w:val="nl-NL"/>
        </w:rPr>
        <w:t xml:space="preserve"> waren dan 55 %. </w:t>
      </w:r>
    </w:p>
    <w:p w:rsidR="00502B12" w:rsidRDefault="00502B12" w:rsidP="004F159F">
      <w:pPr>
        <w:rPr>
          <w:rFonts w:ascii="Segoe UI" w:hAnsi="Segoe UI" w:cs="Segoe UI"/>
          <w:b/>
          <w:szCs w:val="22"/>
        </w:rPr>
      </w:pPr>
      <w:bookmarkStart w:id="0" w:name="h.38x2yd8o25wn" w:colFirst="0" w:colLast="0"/>
      <w:bookmarkEnd w:id="0"/>
      <w:r w:rsidRPr="00897FCF">
        <w:rPr>
          <w:rFonts w:ascii="Segoe UI" w:hAnsi="Segoe UI" w:cs="Segoe UI"/>
          <w:b/>
          <w:szCs w:val="22"/>
        </w:rPr>
        <w:t>-Hoe leg je mw</w:t>
      </w:r>
      <w:r w:rsidR="00A25AF0" w:rsidRPr="00897FCF">
        <w:rPr>
          <w:rFonts w:ascii="Segoe UI" w:hAnsi="Segoe UI" w:cs="Segoe UI"/>
          <w:b/>
          <w:szCs w:val="22"/>
        </w:rPr>
        <w:t>.</w:t>
      </w:r>
      <w:r w:rsidRPr="00897FCF">
        <w:rPr>
          <w:rFonts w:ascii="Segoe UI" w:hAnsi="Segoe UI" w:cs="Segoe UI"/>
          <w:b/>
          <w:szCs w:val="22"/>
        </w:rPr>
        <w:t xml:space="preserve"> uit wat een subklinische </w:t>
      </w:r>
      <w:proofErr w:type="spellStart"/>
      <w:r w:rsidRPr="00897FCF">
        <w:rPr>
          <w:rFonts w:ascii="Segoe UI" w:hAnsi="Segoe UI" w:cs="Segoe UI"/>
          <w:b/>
          <w:szCs w:val="22"/>
        </w:rPr>
        <w:t>hypothyreoidie</w:t>
      </w:r>
      <w:proofErr w:type="spellEnd"/>
      <w:r w:rsidRPr="00897FCF">
        <w:rPr>
          <w:rFonts w:ascii="Segoe UI" w:hAnsi="Segoe UI" w:cs="Segoe UI"/>
          <w:b/>
          <w:szCs w:val="22"/>
        </w:rPr>
        <w:t xml:space="preserve"> is? Schrijf een aantal proefzinnen voor jezelf op en vraag aan je collega </w:t>
      </w:r>
      <w:proofErr w:type="spellStart"/>
      <w:r w:rsidRPr="00897FCF">
        <w:rPr>
          <w:rFonts w:ascii="Segoe UI" w:hAnsi="Segoe UI" w:cs="Segoe UI"/>
          <w:b/>
          <w:szCs w:val="22"/>
        </w:rPr>
        <w:t>aios</w:t>
      </w:r>
      <w:proofErr w:type="spellEnd"/>
      <w:r w:rsidRPr="00897FCF">
        <w:rPr>
          <w:rFonts w:ascii="Segoe UI" w:hAnsi="Segoe UI" w:cs="Segoe UI"/>
          <w:b/>
          <w:szCs w:val="22"/>
        </w:rPr>
        <w:t xml:space="preserve"> hoe zij dit doen. </w:t>
      </w:r>
    </w:p>
    <w:p w:rsidR="00A25AF0" w:rsidRPr="00A25AF0" w:rsidRDefault="000176DE" w:rsidP="004F159F">
      <w:pPr>
        <w:rPr>
          <w:rFonts w:ascii="Segoe UI" w:hAnsi="Segoe UI" w:cs="Segoe UI"/>
          <w:szCs w:val="22"/>
        </w:rPr>
      </w:pPr>
      <w:r w:rsidRPr="004F159F">
        <w:rPr>
          <w:rFonts w:ascii="Segoe UI" w:hAnsi="Segoe UI" w:cs="Segoe UI"/>
          <w:b/>
          <w:szCs w:val="22"/>
        </w:rPr>
        <w:t>-</w:t>
      </w:r>
      <w:r w:rsidR="009215E7" w:rsidRPr="004F159F">
        <w:rPr>
          <w:rFonts w:ascii="Segoe UI" w:hAnsi="Segoe UI" w:cs="Segoe UI"/>
          <w:b/>
          <w:szCs w:val="22"/>
        </w:rPr>
        <w:t>In overleg ga je een proefbehandeling starten.</w:t>
      </w:r>
      <w:r w:rsidRPr="004F159F">
        <w:rPr>
          <w:rFonts w:ascii="Segoe UI" w:hAnsi="Segoe UI" w:cs="Segoe UI"/>
          <w:b/>
          <w:szCs w:val="22"/>
        </w:rPr>
        <w:t xml:space="preserve"> </w:t>
      </w:r>
      <w:r w:rsidR="009215E7" w:rsidRPr="004F159F">
        <w:rPr>
          <w:rFonts w:ascii="Segoe UI" w:hAnsi="Segoe UI" w:cs="Segoe UI"/>
          <w:b/>
          <w:szCs w:val="22"/>
        </w:rPr>
        <w:t xml:space="preserve"> Hoe pak je dit aan?</w:t>
      </w:r>
      <w:r w:rsidR="009215E7" w:rsidRPr="00B536DB">
        <w:rPr>
          <w:rFonts w:ascii="Segoe UI" w:hAnsi="Segoe UI" w:cs="Segoe UI"/>
          <w:szCs w:val="22"/>
        </w:rPr>
        <w:t xml:space="preserve"> </w:t>
      </w:r>
      <w:r w:rsidR="009144F3">
        <w:rPr>
          <w:rFonts w:ascii="Segoe UI" w:hAnsi="Segoe UI" w:cs="Segoe UI"/>
          <w:szCs w:val="22"/>
        </w:rPr>
        <w:br/>
      </w:r>
      <w:r w:rsidR="00A25AF0" w:rsidRPr="00A25AF0">
        <w:rPr>
          <w:rFonts w:ascii="Segoe UI" w:hAnsi="Segoe UI" w:cs="Segoe UI"/>
          <w:szCs w:val="22"/>
        </w:rPr>
        <w:t xml:space="preserve">Alleen bij TSH &gt; 6 en leeftijd &lt;85 </w:t>
      </w:r>
      <w:proofErr w:type="spellStart"/>
      <w:r w:rsidR="00A25AF0" w:rsidRPr="00A25AF0">
        <w:rPr>
          <w:rFonts w:ascii="Segoe UI" w:hAnsi="Segoe UI" w:cs="Segoe UI"/>
          <w:szCs w:val="22"/>
        </w:rPr>
        <w:t>jr</w:t>
      </w:r>
      <w:proofErr w:type="spellEnd"/>
    </w:p>
    <w:p w:rsidR="009144F3" w:rsidRPr="00A25AF0" w:rsidRDefault="009144F3" w:rsidP="004F159F">
      <w:pPr>
        <w:pStyle w:val="Lijstalinea"/>
        <w:ind w:left="0"/>
        <w:rPr>
          <w:rFonts w:cs="Segoe UI"/>
          <w:i/>
          <w:lang w:val="nl-NL"/>
        </w:rPr>
      </w:pPr>
      <w:r w:rsidRPr="00A25AF0">
        <w:rPr>
          <w:rFonts w:cs="Segoe UI"/>
          <w:i/>
          <w:lang w:val="nl-NL"/>
        </w:rPr>
        <w:t>Gezien het ontbreken van bewijs voor positieve effe</w:t>
      </w:r>
      <w:r w:rsidR="00A2629A" w:rsidRPr="00A25AF0">
        <w:rPr>
          <w:rFonts w:cs="Segoe UI"/>
          <w:i/>
          <w:lang w:val="nl-NL"/>
        </w:rPr>
        <w:t>cten van toediening van levothy</w:t>
      </w:r>
      <w:r w:rsidRPr="00A25AF0">
        <w:rPr>
          <w:rFonts w:cs="Segoe UI"/>
          <w:i/>
          <w:lang w:val="nl-NL"/>
        </w:rPr>
        <w:t xml:space="preserve">roxine </w:t>
      </w:r>
      <w:r w:rsidR="00A2629A" w:rsidRPr="00A25AF0">
        <w:rPr>
          <w:rFonts w:cs="Segoe UI"/>
          <w:i/>
          <w:lang w:val="nl-NL"/>
        </w:rPr>
        <w:tab/>
      </w:r>
      <w:r w:rsidRPr="00A25AF0">
        <w:rPr>
          <w:rFonts w:cs="Segoe UI"/>
          <w:i/>
          <w:lang w:val="nl-NL"/>
        </w:rPr>
        <w:t xml:space="preserve">op belangrijke klinische uitkomstmaten (cardiovasculaire events, mortaliteit), wordt </w:t>
      </w:r>
      <w:r w:rsidR="00A2629A" w:rsidRPr="00A25AF0">
        <w:rPr>
          <w:rFonts w:cs="Segoe UI"/>
          <w:i/>
          <w:lang w:val="nl-NL"/>
        </w:rPr>
        <w:tab/>
      </w:r>
      <w:r w:rsidRPr="00A25AF0">
        <w:rPr>
          <w:rFonts w:cs="Segoe UI"/>
          <w:i/>
          <w:lang w:val="nl-NL"/>
        </w:rPr>
        <w:t xml:space="preserve">geadviseerd om personen met subklinische hypothyreoïdie niet routinematig te </w:t>
      </w:r>
      <w:r w:rsidR="00A2629A" w:rsidRPr="00A25AF0">
        <w:rPr>
          <w:rFonts w:cs="Segoe UI"/>
          <w:i/>
          <w:lang w:val="nl-NL"/>
        </w:rPr>
        <w:tab/>
      </w:r>
      <w:r w:rsidRPr="00A25AF0">
        <w:rPr>
          <w:rFonts w:cs="Segoe UI"/>
          <w:i/>
          <w:lang w:val="nl-NL"/>
        </w:rPr>
        <w:t xml:space="preserve">behandelen. </w:t>
      </w:r>
    </w:p>
    <w:p w:rsidR="009144F3" w:rsidRPr="009144F3" w:rsidRDefault="009144F3" w:rsidP="004F159F">
      <w:pPr>
        <w:rPr>
          <w:rFonts w:ascii="Segoe UI" w:hAnsi="Segoe UI" w:cs="Segoe UI"/>
          <w:i/>
          <w:szCs w:val="22"/>
        </w:rPr>
      </w:pPr>
      <w:r w:rsidRPr="009144F3">
        <w:rPr>
          <w:rFonts w:ascii="Segoe UI" w:hAnsi="Segoe UI" w:cs="Segoe UI"/>
          <w:i/>
          <w:szCs w:val="22"/>
        </w:rPr>
        <w:t xml:space="preserve">Gegeven het fluctueren van TSH wordt geadviseerd om bij een subklinische hypothyreoïdie deze waarde eenmalig opnieuw te bepalen, </w:t>
      </w:r>
    </w:p>
    <w:p w:rsidR="009144F3" w:rsidRPr="009144F3" w:rsidRDefault="009144F3" w:rsidP="004F159F">
      <w:pPr>
        <w:rPr>
          <w:rFonts w:ascii="Segoe UI" w:hAnsi="Segoe UI" w:cs="Segoe UI"/>
          <w:i/>
          <w:szCs w:val="22"/>
        </w:rPr>
      </w:pPr>
      <w:r w:rsidRPr="009144F3">
        <w:rPr>
          <w:rFonts w:ascii="Segoe UI" w:hAnsi="Segoe UI" w:cs="Segoe UI"/>
          <w:i/>
          <w:szCs w:val="22"/>
        </w:rPr>
        <w:t>Bij persisterende subklinische hypothyreoïdie en klachten kan in samenspraak met de patiënt een proefbehandeling van minimaal drie maanden worden gestart; een dergelijke behandeling dient alleen in geval van verbetering van klachten te worden gecontinueerd.</w:t>
      </w:r>
    </w:p>
    <w:p w:rsidR="009144F3" w:rsidRPr="009144F3" w:rsidRDefault="009144F3" w:rsidP="004F159F">
      <w:pPr>
        <w:rPr>
          <w:rFonts w:ascii="Segoe UI" w:hAnsi="Segoe UI" w:cs="Segoe UI"/>
          <w:i/>
          <w:szCs w:val="22"/>
        </w:rPr>
      </w:pPr>
      <w:r w:rsidRPr="009144F3">
        <w:rPr>
          <w:rFonts w:ascii="Segoe UI" w:hAnsi="Segoe UI" w:cs="Segoe UI"/>
          <w:i/>
          <w:szCs w:val="22"/>
        </w:rPr>
        <w:t xml:space="preserve">Je gaat </w:t>
      </w:r>
      <w:proofErr w:type="spellStart"/>
      <w:r w:rsidRPr="009144F3">
        <w:rPr>
          <w:rFonts w:ascii="Segoe UI" w:hAnsi="Segoe UI" w:cs="Segoe UI"/>
          <w:i/>
          <w:szCs w:val="22"/>
        </w:rPr>
        <w:t>mw</w:t>
      </w:r>
      <w:proofErr w:type="spellEnd"/>
      <w:r w:rsidRPr="009144F3">
        <w:rPr>
          <w:rFonts w:ascii="Segoe UI" w:hAnsi="Segoe UI" w:cs="Segoe UI"/>
          <w:i/>
          <w:szCs w:val="22"/>
        </w:rPr>
        <w:t xml:space="preserve"> </w:t>
      </w:r>
      <w:r w:rsidR="00A25AF0">
        <w:rPr>
          <w:rFonts w:ascii="Segoe UI" w:hAnsi="Segoe UI" w:cs="Segoe UI"/>
          <w:i/>
          <w:szCs w:val="22"/>
        </w:rPr>
        <w:t xml:space="preserve">. </w:t>
      </w:r>
      <w:r w:rsidRPr="009144F3">
        <w:rPr>
          <w:rFonts w:ascii="Segoe UI" w:hAnsi="Segoe UI" w:cs="Segoe UI"/>
          <w:i/>
          <w:szCs w:val="22"/>
        </w:rPr>
        <w:t xml:space="preserve">behandelen maar laat haar vooraf en na het starten een klachtendagboek bijhouden.  Alleen bij </w:t>
      </w:r>
      <w:proofErr w:type="spellStart"/>
      <w:r w:rsidRPr="009144F3">
        <w:rPr>
          <w:rFonts w:ascii="Segoe UI" w:hAnsi="Segoe UI" w:cs="Segoe UI"/>
          <w:i/>
          <w:szCs w:val="22"/>
        </w:rPr>
        <w:t>ptn</w:t>
      </w:r>
      <w:proofErr w:type="spellEnd"/>
      <w:r w:rsidRPr="009144F3">
        <w:rPr>
          <w:rFonts w:ascii="Segoe UI" w:hAnsi="Segoe UI" w:cs="Segoe UI"/>
          <w:i/>
          <w:szCs w:val="22"/>
        </w:rPr>
        <w:t xml:space="preserve"> &lt;88 </w:t>
      </w:r>
      <w:proofErr w:type="spellStart"/>
      <w:r w:rsidRPr="009144F3">
        <w:rPr>
          <w:rFonts w:ascii="Segoe UI" w:hAnsi="Segoe UI" w:cs="Segoe UI"/>
          <w:i/>
          <w:szCs w:val="22"/>
        </w:rPr>
        <w:t>jr</w:t>
      </w:r>
      <w:proofErr w:type="spellEnd"/>
      <w:r w:rsidRPr="009144F3">
        <w:rPr>
          <w:rFonts w:ascii="Segoe UI" w:hAnsi="Segoe UI" w:cs="Segoe UI"/>
          <w:i/>
          <w:szCs w:val="22"/>
        </w:rPr>
        <w:t xml:space="preserve"> en TSH hoger dan 6 met persisterende klachten die niet anders verklaard kunnen worden. Dan rustig starten zoals stappenplan bij 6o+. Als 6 </w:t>
      </w:r>
      <w:proofErr w:type="spellStart"/>
      <w:r w:rsidRPr="009144F3">
        <w:rPr>
          <w:rFonts w:ascii="Segoe UI" w:hAnsi="Segoe UI" w:cs="Segoe UI"/>
          <w:i/>
          <w:szCs w:val="22"/>
        </w:rPr>
        <w:t>mnd</w:t>
      </w:r>
      <w:proofErr w:type="spellEnd"/>
      <w:r w:rsidRPr="009144F3">
        <w:rPr>
          <w:rFonts w:ascii="Segoe UI" w:hAnsi="Segoe UI" w:cs="Segoe UI"/>
          <w:i/>
          <w:szCs w:val="22"/>
        </w:rPr>
        <w:t xml:space="preserve"> na bereiken normale TSH geen verbetering? stoppen. </w:t>
      </w:r>
    </w:p>
    <w:p w:rsidR="00376719" w:rsidRPr="00841C32" w:rsidRDefault="009215E7" w:rsidP="004F159F">
      <w:pPr>
        <w:numPr>
          <w:ilvl w:val="0"/>
          <w:numId w:val="2"/>
        </w:numPr>
        <w:spacing w:after="0"/>
        <w:ind w:left="0" w:hanging="359"/>
        <w:contextualSpacing/>
        <w:rPr>
          <w:rFonts w:ascii="Segoe UI" w:hAnsi="Segoe UI" w:cs="Segoe UI"/>
          <w:szCs w:val="22"/>
        </w:rPr>
      </w:pPr>
      <w:bookmarkStart w:id="1" w:name="h.gjdgxs" w:colFirst="0" w:colLast="0"/>
      <w:bookmarkEnd w:id="1"/>
      <w:r w:rsidRPr="00841C32">
        <w:rPr>
          <w:rFonts w:ascii="Segoe UI" w:hAnsi="Segoe UI" w:cs="Segoe UI"/>
          <w:szCs w:val="22"/>
        </w:rPr>
        <w:t xml:space="preserve">Mw. N is bekend met een Hashimoto hypothyreoïdie, waarvoor ze 150 </w:t>
      </w:r>
      <w:proofErr w:type="spellStart"/>
      <w:r w:rsidRPr="00841C32">
        <w:rPr>
          <w:rFonts w:ascii="Segoe UI" w:hAnsi="Segoe UI" w:cs="Segoe UI"/>
          <w:szCs w:val="22"/>
        </w:rPr>
        <w:t>ugr</w:t>
      </w:r>
      <w:proofErr w:type="spellEnd"/>
      <w:r w:rsidRPr="00841C32">
        <w:rPr>
          <w:rFonts w:ascii="Segoe UI" w:hAnsi="Segoe UI" w:cs="Segoe UI"/>
          <w:szCs w:val="22"/>
        </w:rPr>
        <w:t xml:space="preserve">. levothyroxine per dag gebruikt. Ze heeft een zwangerschapswens en heeft al met haar huisarts besproken dat ze de eerste werkdag na een positieve zwangerschapstest bloed moet laten prikken en direct de dag erna alvast haar dosering levothyroxine moet verhogen . Mw. N doet op vrijdagmiddag een zwangerschapstest en blijkt zwanger te zijn.  Ze kan nog net voor 17:00 uur bloed laten prikken, maar bedenkt zich dan dat ze niet goed weet hoeveel meer levothyroxine ze moet gaan nemen in het weekend, 175 of 200 </w:t>
      </w:r>
      <w:proofErr w:type="spellStart"/>
      <w:r w:rsidRPr="00841C32">
        <w:rPr>
          <w:rFonts w:ascii="Segoe UI" w:hAnsi="Segoe UI" w:cs="Segoe UI"/>
          <w:szCs w:val="22"/>
        </w:rPr>
        <w:t>Ugr</w:t>
      </w:r>
      <w:proofErr w:type="spellEnd"/>
      <w:r w:rsidRPr="00841C32">
        <w:rPr>
          <w:rFonts w:ascii="Segoe UI" w:hAnsi="Segoe UI" w:cs="Segoe UI"/>
          <w:szCs w:val="22"/>
        </w:rPr>
        <w:t xml:space="preserve">. </w:t>
      </w:r>
    </w:p>
    <w:p w:rsidR="00841C32" w:rsidRDefault="00841C32" w:rsidP="004F159F">
      <w:pPr>
        <w:spacing w:after="0"/>
        <w:contextualSpacing/>
        <w:rPr>
          <w:rFonts w:ascii="Segoe UI" w:hAnsi="Segoe UI" w:cs="Segoe UI"/>
          <w:szCs w:val="22"/>
        </w:rPr>
      </w:pPr>
    </w:p>
    <w:p w:rsidR="006E43BF" w:rsidRPr="00B536DB" w:rsidRDefault="00376719" w:rsidP="004F159F">
      <w:pPr>
        <w:spacing w:after="0"/>
        <w:contextualSpacing/>
        <w:rPr>
          <w:rFonts w:ascii="Segoe UI" w:hAnsi="Segoe UI" w:cs="Segoe UI"/>
          <w:szCs w:val="22"/>
        </w:rPr>
      </w:pPr>
      <w:bookmarkStart w:id="2" w:name="_GoBack"/>
      <w:bookmarkEnd w:id="2"/>
      <w:r>
        <w:rPr>
          <w:rFonts w:ascii="Segoe UI" w:hAnsi="Segoe UI" w:cs="Segoe UI"/>
          <w:szCs w:val="22"/>
        </w:rPr>
        <w:t>-</w:t>
      </w:r>
      <w:r w:rsidR="009215E7" w:rsidRPr="00B536DB">
        <w:rPr>
          <w:rFonts w:ascii="Segoe UI" w:hAnsi="Segoe UI" w:cs="Segoe UI"/>
          <w:szCs w:val="22"/>
        </w:rPr>
        <w:t xml:space="preserve">Ze belt de huisartsenpost met die vraag.  </w:t>
      </w:r>
      <w:r w:rsidR="009215E7" w:rsidRPr="00FE7EFF">
        <w:rPr>
          <w:rFonts w:ascii="Segoe UI" w:hAnsi="Segoe UI" w:cs="Segoe UI"/>
          <w:b/>
          <w:szCs w:val="22"/>
        </w:rPr>
        <w:t>Wat is je antwoord?</w:t>
      </w:r>
    </w:p>
    <w:p w:rsidR="00A25AF0" w:rsidRPr="00FE7EFF" w:rsidRDefault="00A25AF0" w:rsidP="004F159F">
      <w:pPr>
        <w:rPr>
          <w:rFonts w:ascii="Segoe UI" w:hAnsi="Segoe UI" w:cs="Segoe UI"/>
          <w:szCs w:val="22"/>
        </w:rPr>
      </w:pPr>
      <w:r w:rsidRPr="00FE7EFF">
        <w:rPr>
          <w:rFonts w:ascii="Segoe UI" w:hAnsi="Segoe UI" w:cs="Segoe UI"/>
          <w:szCs w:val="22"/>
        </w:rPr>
        <w:lastRenderedPageBreak/>
        <w:t xml:space="preserve">In de zwangerschap neemt de behoefte aan schildklierhormoon toe. Er is dus een hogere dosering nodig om ervoor te zorgen dat de zwangere euthyreoot blijft.  Uiteindelijk is er in het eerste trimester meestal 30-50% meer levothyroxine nodig.  Het advies van de standaard is om vast te verhogen met 25%, maar dit is dus wat aan de lage kant. Bij mw. N is het verstandig om vast 200 </w:t>
      </w:r>
      <w:proofErr w:type="spellStart"/>
      <w:r w:rsidRPr="00FE7EFF">
        <w:rPr>
          <w:rFonts w:ascii="Segoe UI" w:hAnsi="Segoe UI" w:cs="Segoe UI"/>
          <w:szCs w:val="22"/>
        </w:rPr>
        <w:t>ugr</w:t>
      </w:r>
      <w:proofErr w:type="spellEnd"/>
      <w:r w:rsidRPr="00FE7EFF">
        <w:rPr>
          <w:rFonts w:ascii="Segoe UI" w:hAnsi="Segoe UI" w:cs="Segoe UI"/>
          <w:szCs w:val="22"/>
        </w:rPr>
        <w:t xml:space="preserve"> te gaan slikken (33 % meer). </w:t>
      </w:r>
    </w:p>
    <w:p w:rsidR="006E43BF" w:rsidRDefault="009215E7" w:rsidP="004F159F">
      <w:pPr>
        <w:spacing w:after="0"/>
        <w:rPr>
          <w:rFonts w:ascii="Segoe UI" w:hAnsi="Segoe UI" w:cs="Segoe UI"/>
          <w:szCs w:val="22"/>
        </w:rPr>
      </w:pPr>
      <w:r w:rsidRPr="00B536DB">
        <w:rPr>
          <w:rFonts w:ascii="Segoe UI" w:hAnsi="Segoe UI" w:cs="Segoe UI"/>
          <w:szCs w:val="22"/>
        </w:rPr>
        <w:t>-</w:t>
      </w:r>
      <w:r w:rsidRPr="00FE7EFF">
        <w:rPr>
          <w:rFonts w:ascii="Segoe UI" w:hAnsi="Segoe UI" w:cs="Segoe UI"/>
          <w:b/>
          <w:szCs w:val="22"/>
        </w:rPr>
        <w:t xml:space="preserve">Wat zijn de risico’s als ze de </w:t>
      </w:r>
      <w:proofErr w:type="spellStart"/>
      <w:r w:rsidRPr="00FE7EFF">
        <w:rPr>
          <w:rFonts w:ascii="Segoe UI" w:hAnsi="Segoe UI" w:cs="Segoe UI"/>
          <w:b/>
          <w:szCs w:val="22"/>
        </w:rPr>
        <w:t>thyrax</w:t>
      </w:r>
      <w:proofErr w:type="spellEnd"/>
      <w:r w:rsidRPr="00FE7EFF">
        <w:rPr>
          <w:rFonts w:ascii="Segoe UI" w:hAnsi="Segoe UI" w:cs="Segoe UI"/>
          <w:b/>
          <w:szCs w:val="22"/>
        </w:rPr>
        <w:t xml:space="preserve"> dosering niet zou verhogen?</w:t>
      </w:r>
    </w:p>
    <w:p w:rsidR="00A25AF0" w:rsidRPr="00A25AF0" w:rsidRDefault="00A25AF0" w:rsidP="004F159F">
      <w:pPr>
        <w:spacing w:after="0"/>
        <w:rPr>
          <w:rFonts w:ascii="Segoe UI" w:hAnsi="Segoe UI" w:cs="Segoe UI"/>
          <w:szCs w:val="22"/>
        </w:rPr>
      </w:pPr>
      <w:r w:rsidRPr="00A25AF0">
        <w:rPr>
          <w:rFonts w:ascii="Segoe UI" w:hAnsi="Segoe UI" w:cs="Segoe UI"/>
          <w:szCs w:val="22"/>
        </w:rPr>
        <w:t xml:space="preserve">Verhoging is noodzakelijk voor een goede ontwikkeling van het embryo.  </w:t>
      </w:r>
    </w:p>
    <w:p w:rsidR="00A25AF0" w:rsidRDefault="00A25AF0" w:rsidP="004F159F">
      <w:pPr>
        <w:spacing w:after="0"/>
        <w:rPr>
          <w:rFonts w:ascii="Segoe UI" w:hAnsi="Segoe UI" w:cs="Segoe UI"/>
          <w:szCs w:val="22"/>
        </w:rPr>
      </w:pPr>
      <w:proofErr w:type="spellStart"/>
      <w:r w:rsidRPr="00A25AF0">
        <w:rPr>
          <w:rFonts w:ascii="Segoe UI" w:hAnsi="Segoe UI" w:cs="Segoe UI"/>
          <w:szCs w:val="22"/>
        </w:rPr>
        <w:t>Onderbehandelde</w:t>
      </w:r>
      <w:proofErr w:type="spellEnd"/>
      <w:r w:rsidRPr="00A25AF0">
        <w:rPr>
          <w:rFonts w:ascii="Segoe UI" w:hAnsi="Segoe UI" w:cs="Segoe UI"/>
          <w:szCs w:val="22"/>
        </w:rPr>
        <w:t xml:space="preserve"> hypothyreoïdie verhoogt het risico op zwangerschapscomplicaties, zoals miskraam,  HT, </w:t>
      </w:r>
      <w:proofErr w:type="spellStart"/>
      <w:r w:rsidRPr="00A25AF0">
        <w:rPr>
          <w:rFonts w:ascii="Segoe UI" w:hAnsi="Segoe UI" w:cs="Segoe UI"/>
          <w:szCs w:val="22"/>
        </w:rPr>
        <w:t>pre-eclampsie</w:t>
      </w:r>
      <w:proofErr w:type="spellEnd"/>
      <w:r w:rsidRPr="00A25AF0">
        <w:rPr>
          <w:rFonts w:ascii="Segoe UI" w:hAnsi="Segoe UI" w:cs="Segoe UI"/>
          <w:szCs w:val="22"/>
        </w:rPr>
        <w:t>, anemie en bloedverlies post- partum en geeft een verminderde cognitieve ontwikkeling van de foetus.</w:t>
      </w:r>
    </w:p>
    <w:p w:rsidR="00A25AF0" w:rsidRPr="00B536DB" w:rsidRDefault="00A25AF0" w:rsidP="004F159F">
      <w:pPr>
        <w:spacing w:after="0"/>
        <w:rPr>
          <w:rFonts w:ascii="Segoe UI" w:hAnsi="Segoe UI" w:cs="Segoe UI"/>
          <w:szCs w:val="22"/>
        </w:rPr>
      </w:pPr>
    </w:p>
    <w:p w:rsidR="006E43BF" w:rsidRPr="00B536DB" w:rsidRDefault="009215E7" w:rsidP="004F159F">
      <w:pPr>
        <w:spacing w:after="0"/>
        <w:rPr>
          <w:rFonts w:ascii="Segoe UI" w:hAnsi="Segoe UI" w:cs="Segoe UI"/>
          <w:szCs w:val="22"/>
        </w:rPr>
      </w:pPr>
      <w:r w:rsidRPr="00B536DB">
        <w:rPr>
          <w:rFonts w:ascii="Segoe UI" w:hAnsi="Segoe UI" w:cs="Segoe UI"/>
          <w:szCs w:val="22"/>
        </w:rPr>
        <w:t>-</w:t>
      </w:r>
      <w:r w:rsidRPr="00FE7EFF">
        <w:rPr>
          <w:rFonts w:ascii="Segoe UI" w:hAnsi="Segoe UI" w:cs="Segoe UI"/>
          <w:b/>
          <w:szCs w:val="22"/>
        </w:rPr>
        <w:t>Wat moet mw. nog meer laten prikken behalve de TSH en FT4?</w:t>
      </w:r>
    </w:p>
    <w:p w:rsidR="00FE7EFF" w:rsidRPr="00FE7EFF" w:rsidRDefault="00331C70" w:rsidP="004F159F">
      <w:pPr>
        <w:rPr>
          <w:rFonts w:ascii="Segoe UI" w:hAnsi="Segoe UI" w:cs="Segoe UI"/>
          <w:szCs w:val="22"/>
        </w:rPr>
      </w:pPr>
      <w:r w:rsidRPr="00BC0324">
        <w:rPr>
          <w:rFonts w:ascii="Segoe UI" w:hAnsi="Segoe UI" w:cs="Segoe UI"/>
          <w:szCs w:val="22"/>
        </w:rPr>
        <w:t xml:space="preserve">De TSH-R-antistoffen. Indien aanwezig moet mw. verwezen worden naar de internist. </w:t>
      </w:r>
      <w:r w:rsidR="00FE7EFF">
        <w:rPr>
          <w:rFonts w:ascii="Segoe UI" w:hAnsi="Segoe UI" w:cs="Segoe UI"/>
          <w:szCs w:val="22"/>
        </w:rPr>
        <w:t xml:space="preserve"> </w:t>
      </w:r>
      <w:r w:rsidR="00FE7EFF" w:rsidRPr="00FE7EFF">
        <w:rPr>
          <w:rFonts w:ascii="Segoe UI" w:hAnsi="Segoe UI" w:cs="Segoe UI"/>
          <w:szCs w:val="22"/>
        </w:rPr>
        <w:t xml:space="preserve">TSH receptor antistoffen zijn meestal aanwezig bij de ziekte van Graves. Bij de ziekte van Hashimoto is er echter ook een verhoogde kans op </w:t>
      </w:r>
      <w:r w:rsidR="00FE7EFF">
        <w:rPr>
          <w:rFonts w:ascii="Segoe UI" w:hAnsi="Segoe UI" w:cs="Segoe UI"/>
          <w:szCs w:val="22"/>
        </w:rPr>
        <w:t xml:space="preserve">de aanwezigheid </w:t>
      </w:r>
      <w:r w:rsidR="00FE7EFF" w:rsidRPr="00FE7EFF">
        <w:rPr>
          <w:rFonts w:ascii="Segoe UI" w:hAnsi="Segoe UI" w:cs="Segoe UI"/>
          <w:szCs w:val="22"/>
        </w:rPr>
        <w:t xml:space="preserve">van TSH receptor antistoffen. Deze antistoffen passeren de placenta en kunnen zo hyperthyreoïdie bij de foetus veroorzaken. Daarom moet ook bij patiënten met alleen een hypothyreoïdie </w:t>
      </w:r>
      <w:r w:rsidR="00FE7EFF">
        <w:rPr>
          <w:rFonts w:ascii="Segoe UI" w:hAnsi="Segoe UI" w:cs="Segoe UI"/>
          <w:szCs w:val="22"/>
        </w:rPr>
        <w:t xml:space="preserve">(die nooit een klinische hyperthyreoïdie gehad hebben ) </w:t>
      </w:r>
      <w:r w:rsidR="00FE7EFF" w:rsidRPr="00FE7EFF">
        <w:rPr>
          <w:rFonts w:ascii="Segoe UI" w:hAnsi="Segoe UI" w:cs="Segoe UI"/>
          <w:szCs w:val="22"/>
        </w:rPr>
        <w:t xml:space="preserve">gekeken worden of de TSH receptor antistoffen aanwezig zijn. </w:t>
      </w:r>
      <w:r>
        <w:rPr>
          <w:rFonts w:ascii="Segoe UI" w:hAnsi="Segoe UI" w:cs="Segoe UI"/>
          <w:szCs w:val="22"/>
        </w:rPr>
        <w:t xml:space="preserve"> </w:t>
      </w:r>
      <w:r w:rsidR="00FE7EFF" w:rsidRPr="00FE7EFF">
        <w:rPr>
          <w:rFonts w:ascii="Segoe UI" w:hAnsi="Segoe UI" w:cs="Segoe UI"/>
          <w:szCs w:val="22"/>
        </w:rPr>
        <w:t>NB. De anti</w:t>
      </w:r>
      <w:r w:rsidR="00FE7EFF">
        <w:rPr>
          <w:rFonts w:ascii="Segoe UI" w:hAnsi="Segoe UI" w:cs="Segoe UI"/>
          <w:szCs w:val="22"/>
        </w:rPr>
        <w:t>-</w:t>
      </w:r>
      <w:r w:rsidR="00FE7EFF" w:rsidRPr="00FE7EFF">
        <w:rPr>
          <w:rFonts w:ascii="Segoe UI" w:hAnsi="Segoe UI" w:cs="Segoe UI"/>
          <w:szCs w:val="22"/>
        </w:rPr>
        <w:t xml:space="preserve">TPO antistoffen zijn juist bij patiënten met Hashimoto bijna altijd aanwezig en bij Graves veel minder. Deze antistoffen passeren echter de placenta niet en hebben dus ook geen invloed op de foetus. </w:t>
      </w:r>
    </w:p>
    <w:p w:rsidR="001D1AC3" w:rsidRPr="00BC0324" w:rsidRDefault="001D1AC3" w:rsidP="004F159F">
      <w:pPr>
        <w:spacing w:after="0"/>
        <w:rPr>
          <w:rFonts w:ascii="Segoe UI" w:hAnsi="Segoe UI" w:cs="Segoe UI"/>
          <w:szCs w:val="22"/>
        </w:rPr>
      </w:pPr>
    </w:p>
    <w:p w:rsidR="006E43BF" w:rsidRPr="00B536DB" w:rsidRDefault="009215E7" w:rsidP="004F159F">
      <w:pPr>
        <w:spacing w:after="0"/>
        <w:rPr>
          <w:rFonts w:ascii="Segoe UI" w:hAnsi="Segoe UI" w:cs="Segoe UI"/>
          <w:szCs w:val="22"/>
        </w:rPr>
      </w:pPr>
      <w:r w:rsidRPr="00B536DB">
        <w:rPr>
          <w:rFonts w:ascii="Segoe UI" w:hAnsi="Segoe UI" w:cs="Segoe UI"/>
          <w:szCs w:val="22"/>
        </w:rPr>
        <w:t>-</w:t>
      </w:r>
      <w:r w:rsidRPr="0046669A">
        <w:rPr>
          <w:rFonts w:ascii="Segoe UI" w:hAnsi="Segoe UI" w:cs="Segoe UI"/>
          <w:b/>
          <w:szCs w:val="22"/>
        </w:rPr>
        <w:t>Hoe verloopt de begeleiding van de hypothyreoïdie in de zwangerschap?</w:t>
      </w:r>
    </w:p>
    <w:p w:rsidR="001D1AC3" w:rsidRPr="00BC0324" w:rsidRDefault="00331C70" w:rsidP="004F159F">
      <w:pPr>
        <w:spacing w:after="0"/>
        <w:rPr>
          <w:rFonts w:ascii="Segoe UI" w:hAnsi="Segoe UI" w:cs="Segoe UI"/>
          <w:szCs w:val="22"/>
        </w:rPr>
      </w:pPr>
      <w:r w:rsidRPr="00BC0324">
        <w:rPr>
          <w:rFonts w:ascii="Segoe UI" w:hAnsi="Segoe UI" w:cs="Segoe UI"/>
          <w:szCs w:val="22"/>
        </w:rPr>
        <w:t>Elke 4 weken co TSH en T4</w:t>
      </w:r>
      <w:r w:rsidR="00BC0324">
        <w:rPr>
          <w:rFonts w:ascii="Segoe UI" w:hAnsi="Segoe UI" w:cs="Segoe UI"/>
          <w:szCs w:val="22"/>
        </w:rPr>
        <w:t xml:space="preserve">. </w:t>
      </w:r>
      <w:r w:rsidRPr="00BC0324">
        <w:rPr>
          <w:rFonts w:ascii="Segoe UI" w:hAnsi="Segoe UI" w:cs="Segoe UI"/>
          <w:szCs w:val="22"/>
        </w:rPr>
        <w:t>Streefwaarde van TSH is tussen de 1 en 2 en vaker wat dichter bij 1. (iets lager dan niet-</w:t>
      </w:r>
      <w:proofErr w:type="spellStart"/>
      <w:r w:rsidRPr="00BC0324">
        <w:rPr>
          <w:rFonts w:ascii="Segoe UI" w:hAnsi="Segoe UI" w:cs="Segoe UI"/>
          <w:szCs w:val="22"/>
        </w:rPr>
        <w:t>zwangeren</w:t>
      </w:r>
      <w:proofErr w:type="spellEnd"/>
      <w:r w:rsidRPr="00BC0324">
        <w:rPr>
          <w:rFonts w:ascii="Segoe UI" w:hAnsi="Segoe UI" w:cs="Segoe UI"/>
          <w:szCs w:val="22"/>
        </w:rPr>
        <w:t>)</w:t>
      </w:r>
    </w:p>
    <w:p w:rsidR="00BC0324" w:rsidRDefault="00BC0324" w:rsidP="004F159F">
      <w:pPr>
        <w:spacing w:after="0"/>
        <w:rPr>
          <w:rFonts w:ascii="Segoe UI" w:hAnsi="Segoe UI" w:cs="Segoe UI"/>
          <w:szCs w:val="22"/>
        </w:rPr>
      </w:pPr>
    </w:p>
    <w:p w:rsidR="006E43BF" w:rsidRPr="0046669A" w:rsidRDefault="009215E7" w:rsidP="004F159F">
      <w:pPr>
        <w:spacing w:after="0"/>
        <w:rPr>
          <w:rFonts w:ascii="Segoe UI" w:hAnsi="Segoe UI" w:cs="Segoe UI"/>
          <w:b/>
          <w:szCs w:val="22"/>
        </w:rPr>
      </w:pPr>
      <w:r w:rsidRPr="0046669A">
        <w:rPr>
          <w:rFonts w:ascii="Segoe UI" w:hAnsi="Segoe UI" w:cs="Segoe UI"/>
          <w:b/>
          <w:szCs w:val="22"/>
        </w:rPr>
        <w:t xml:space="preserve">-Wat vertel je </w:t>
      </w:r>
      <w:proofErr w:type="spellStart"/>
      <w:r w:rsidRPr="0046669A">
        <w:rPr>
          <w:rFonts w:ascii="Segoe UI" w:hAnsi="Segoe UI" w:cs="Segoe UI"/>
          <w:b/>
          <w:szCs w:val="22"/>
        </w:rPr>
        <w:t>mw</w:t>
      </w:r>
      <w:proofErr w:type="spellEnd"/>
      <w:r w:rsidRPr="0046669A">
        <w:rPr>
          <w:rFonts w:ascii="Segoe UI" w:hAnsi="Segoe UI" w:cs="Segoe UI"/>
          <w:b/>
          <w:szCs w:val="22"/>
        </w:rPr>
        <w:t xml:space="preserve"> N over de dosering na de bevalling en tijdens de borstvoeding? </w:t>
      </w:r>
    </w:p>
    <w:p w:rsidR="00A25AF0" w:rsidRPr="0046669A" w:rsidRDefault="00331C70" w:rsidP="004F159F">
      <w:pPr>
        <w:tabs>
          <w:tab w:val="num" w:pos="720"/>
        </w:tabs>
        <w:rPr>
          <w:rFonts w:ascii="Segoe UI" w:hAnsi="Segoe UI" w:cs="Segoe UI"/>
          <w:szCs w:val="22"/>
        </w:rPr>
      </w:pPr>
      <w:r w:rsidRPr="0046669A">
        <w:rPr>
          <w:rFonts w:ascii="Segoe UI" w:hAnsi="Segoe UI" w:cs="Segoe UI"/>
          <w:szCs w:val="22"/>
        </w:rPr>
        <w:t xml:space="preserve">Direct na de bevalling terug naar de dosering van voor de zwangerschap. Tijdens de lactatie kan </w:t>
      </w:r>
      <w:proofErr w:type="spellStart"/>
      <w:r w:rsidRPr="0046669A">
        <w:rPr>
          <w:rFonts w:ascii="Segoe UI" w:hAnsi="Segoe UI" w:cs="Segoe UI"/>
          <w:szCs w:val="22"/>
        </w:rPr>
        <w:t>mw</w:t>
      </w:r>
      <w:proofErr w:type="spellEnd"/>
      <w:r w:rsidRPr="0046669A">
        <w:rPr>
          <w:rFonts w:ascii="Segoe UI" w:hAnsi="Segoe UI" w:cs="Segoe UI"/>
          <w:szCs w:val="22"/>
        </w:rPr>
        <w:t xml:space="preserve"> haar gewone dosering </w:t>
      </w:r>
      <w:proofErr w:type="spellStart"/>
      <w:r w:rsidRPr="0046669A">
        <w:rPr>
          <w:rFonts w:ascii="Segoe UI" w:hAnsi="Segoe UI" w:cs="Segoe UI"/>
          <w:szCs w:val="22"/>
        </w:rPr>
        <w:t>thyrax</w:t>
      </w:r>
      <w:proofErr w:type="spellEnd"/>
      <w:r w:rsidRPr="0046669A">
        <w:rPr>
          <w:rFonts w:ascii="Segoe UI" w:hAnsi="Segoe UI" w:cs="Segoe UI"/>
          <w:szCs w:val="22"/>
        </w:rPr>
        <w:t xml:space="preserve"> slikken.</w:t>
      </w:r>
      <w:r w:rsidR="00BC0324" w:rsidRPr="0046669A">
        <w:rPr>
          <w:rFonts w:ascii="Segoe UI" w:hAnsi="Segoe UI" w:cs="Segoe UI"/>
          <w:szCs w:val="22"/>
        </w:rPr>
        <w:t xml:space="preserve"> </w:t>
      </w:r>
      <w:r w:rsidR="00A25AF0" w:rsidRPr="0046669A">
        <w:rPr>
          <w:rFonts w:ascii="Segoe UI" w:hAnsi="Segoe UI" w:cs="Segoe UI"/>
          <w:szCs w:val="22"/>
        </w:rPr>
        <w:t>Er komt iets in de moedermelk, maar er is veel ervaring mee en er blijkt geen invloed op de baby te zijn.</w:t>
      </w:r>
    </w:p>
    <w:p w:rsidR="009144F3" w:rsidRPr="00376719" w:rsidRDefault="009215E7" w:rsidP="004F159F">
      <w:pPr>
        <w:rPr>
          <w:rFonts w:ascii="Segoe UI" w:hAnsi="Segoe UI" w:cs="Segoe UI"/>
          <w:szCs w:val="22"/>
        </w:rPr>
      </w:pPr>
      <w:r w:rsidRPr="0046669A">
        <w:rPr>
          <w:rFonts w:ascii="Segoe UI" w:hAnsi="Segoe UI" w:cs="Segoe UI"/>
          <w:b/>
          <w:szCs w:val="22"/>
        </w:rPr>
        <w:t xml:space="preserve">-Hoe lang na de partus moet </w:t>
      </w:r>
      <w:proofErr w:type="spellStart"/>
      <w:r w:rsidRPr="0046669A">
        <w:rPr>
          <w:rFonts w:ascii="Segoe UI" w:hAnsi="Segoe UI" w:cs="Segoe UI"/>
          <w:b/>
          <w:szCs w:val="22"/>
        </w:rPr>
        <w:t>mw</w:t>
      </w:r>
      <w:proofErr w:type="spellEnd"/>
      <w:r w:rsidRPr="0046669A">
        <w:rPr>
          <w:rFonts w:ascii="Segoe UI" w:hAnsi="Segoe UI" w:cs="Segoe UI"/>
          <w:b/>
          <w:szCs w:val="22"/>
        </w:rPr>
        <w:t xml:space="preserve"> weer haar TSH laten controleren?</w:t>
      </w:r>
      <w:r w:rsidR="009144F3" w:rsidRPr="0046669A">
        <w:rPr>
          <w:rFonts w:ascii="Segoe UI" w:hAnsi="Segoe UI" w:cs="Segoe UI"/>
          <w:szCs w:val="22"/>
        </w:rPr>
        <w:br/>
      </w:r>
      <w:r w:rsidR="00331C70" w:rsidRPr="0046669A">
        <w:rPr>
          <w:rFonts w:ascii="Segoe UI" w:hAnsi="Segoe UI" w:cs="Segoe UI"/>
          <w:szCs w:val="22"/>
        </w:rPr>
        <w:t>6 weken.</w:t>
      </w:r>
      <w:r w:rsidR="00331C70" w:rsidRPr="0046669A">
        <w:rPr>
          <w:rFonts w:cs="Segoe UI"/>
        </w:rPr>
        <w:t xml:space="preserve"> </w:t>
      </w:r>
      <w:r w:rsidR="00331C70" w:rsidRPr="0046669A">
        <w:rPr>
          <w:rFonts w:ascii="Segoe UI" w:hAnsi="Segoe UI" w:cs="Segoe UI"/>
          <w:szCs w:val="22"/>
        </w:rPr>
        <w:t xml:space="preserve">Het blijkt dat meer dan 50 % van de vrouwen met een pre-existente </w:t>
      </w:r>
      <w:r w:rsidR="00BC0324" w:rsidRPr="0046669A">
        <w:rPr>
          <w:rFonts w:ascii="Segoe UI" w:hAnsi="Segoe UI" w:cs="Segoe UI"/>
          <w:szCs w:val="22"/>
        </w:rPr>
        <w:t>H</w:t>
      </w:r>
      <w:r w:rsidR="00331C70" w:rsidRPr="0046669A">
        <w:rPr>
          <w:rFonts w:ascii="Segoe UI" w:hAnsi="Segoe UI" w:cs="Segoe UI"/>
          <w:szCs w:val="22"/>
        </w:rPr>
        <w:t xml:space="preserve">ashimoto postpartum meer </w:t>
      </w:r>
      <w:proofErr w:type="spellStart"/>
      <w:r w:rsidR="00331C70" w:rsidRPr="0046669A">
        <w:rPr>
          <w:rFonts w:ascii="Segoe UI" w:hAnsi="Segoe UI" w:cs="Segoe UI"/>
          <w:szCs w:val="22"/>
        </w:rPr>
        <w:t>thyrax</w:t>
      </w:r>
      <w:proofErr w:type="spellEnd"/>
      <w:r w:rsidR="00331C70" w:rsidRPr="0046669A">
        <w:rPr>
          <w:rFonts w:ascii="Segoe UI" w:hAnsi="Segoe UI" w:cs="Segoe UI"/>
          <w:szCs w:val="22"/>
        </w:rPr>
        <w:t xml:space="preserve"> nodig hebben, waarschijnlijk door een toename van het auto-immuun proces. </w:t>
      </w:r>
    </w:p>
    <w:sectPr w:rsidR="009144F3" w:rsidRPr="00376719" w:rsidSect="004461AE">
      <w:pgSz w:w="12240" w:h="15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15D"/>
    <w:multiLevelType w:val="multilevel"/>
    <w:tmpl w:val="58A2D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927CD"/>
    <w:multiLevelType w:val="multilevel"/>
    <w:tmpl w:val="411A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9665B"/>
    <w:multiLevelType w:val="multilevel"/>
    <w:tmpl w:val="0CE2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96580"/>
    <w:multiLevelType w:val="hybridMultilevel"/>
    <w:tmpl w:val="686209C0"/>
    <w:lvl w:ilvl="0" w:tplc="5E069146">
      <w:start w:val="1"/>
      <w:numFmt w:val="bullet"/>
      <w:lvlText w:val="•"/>
      <w:lvlJc w:val="left"/>
      <w:pPr>
        <w:tabs>
          <w:tab w:val="num" w:pos="720"/>
        </w:tabs>
        <w:ind w:left="720" w:hanging="360"/>
      </w:pPr>
      <w:rPr>
        <w:rFonts w:ascii="Arial" w:hAnsi="Arial" w:hint="default"/>
      </w:rPr>
    </w:lvl>
    <w:lvl w:ilvl="1" w:tplc="C7A80E5C" w:tentative="1">
      <w:start w:val="1"/>
      <w:numFmt w:val="bullet"/>
      <w:lvlText w:val="•"/>
      <w:lvlJc w:val="left"/>
      <w:pPr>
        <w:tabs>
          <w:tab w:val="num" w:pos="1440"/>
        </w:tabs>
        <w:ind w:left="1440" w:hanging="360"/>
      </w:pPr>
      <w:rPr>
        <w:rFonts w:ascii="Arial" w:hAnsi="Arial" w:hint="default"/>
      </w:rPr>
    </w:lvl>
    <w:lvl w:ilvl="2" w:tplc="36E44DC8" w:tentative="1">
      <w:start w:val="1"/>
      <w:numFmt w:val="bullet"/>
      <w:lvlText w:val="•"/>
      <w:lvlJc w:val="left"/>
      <w:pPr>
        <w:tabs>
          <w:tab w:val="num" w:pos="2160"/>
        </w:tabs>
        <w:ind w:left="2160" w:hanging="360"/>
      </w:pPr>
      <w:rPr>
        <w:rFonts w:ascii="Arial" w:hAnsi="Arial" w:hint="default"/>
      </w:rPr>
    </w:lvl>
    <w:lvl w:ilvl="3" w:tplc="738C6636" w:tentative="1">
      <w:start w:val="1"/>
      <w:numFmt w:val="bullet"/>
      <w:lvlText w:val="•"/>
      <w:lvlJc w:val="left"/>
      <w:pPr>
        <w:tabs>
          <w:tab w:val="num" w:pos="2880"/>
        </w:tabs>
        <w:ind w:left="2880" w:hanging="360"/>
      </w:pPr>
      <w:rPr>
        <w:rFonts w:ascii="Arial" w:hAnsi="Arial" w:hint="default"/>
      </w:rPr>
    </w:lvl>
    <w:lvl w:ilvl="4" w:tplc="9F00741A" w:tentative="1">
      <w:start w:val="1"/>
      <w:numFmt w:val="bullet"/>
      <w:lvlText w:val="•"/>
      <w:lvlJc w:val="left"/>
      <w:pPr>
        <w:tabs>
          <w:tab w:val="num" w:pos="3600"/>
        </w:tabs>
        <w:ind w:left="3600" w:hanging="360"/>
      </w:pPr>
      <w:rPr>
        <w:rFonts w:ascii="Arial" w:hAnsi="Arial" w:hint="default"/>
      </w:rPr>
    </w:lvl>
    <w:lvl w:ilvl="5" w:tplc="885CD346" w:tentative="1">
      <w:start w:val="1"/>
      <w:numFmt w:val="bullet"/>
      <w:lvlText w:val="•"/>
      <w:lvlJc w:val="left"/>
      <w:pPr>
        <w:tabs>
          <w:tab w:val="num" w:pos="4320"/>
        </w:tabs>
        <w:ind w:left="4320" w:hanging="360"/>
      </w:pPr>
      <w:rPr>
        <w:rFonts w:ascii="Arial" w:hAnsi="Arial" w:hint="default"/>
      </w:rPr>
    </w:lvl>
    <w:lvl w:ilvl="6" w:tplc="AA201B8E" w:tentative="1">
      <w:start w:val="1"/>
      <w:numFmt w:val="bullet"/>
      <w:lvlText w:val="•"/>
      <w:lvlJc w:val="left"/>
      <w:pPr>
        <w:tabs>
          <w:tab w:val="num" w:pos="5040"/>
        </w:tabs>
        <w:ind w:left="5040" w:hanging="360"/>
      </w:pPr>
      <w:rPr>
        <w:rFonts w:ascii="Arial" w:hAnsi="Arial" w:hint="default"/>
      </w:rPr>
    </w:lvl>
    <w:lvl w:ilvl="7" w:tplc="9EE8B69A" w:tentative="1">
      <w:start w:val="1"/>
      <w:numFmt w:val="bullet"/>
      <w:lvlText w:val="•"/>
      <w:lvlJc w:val="left"/>
      <w:pPr>
        <w:tabs>
          <w:tab w:val="num" w:pos="5760"/>
        </w:tabs>
        <w:ind w:left="5760" w:hanging="360"/>
      </w:pPr>
      <w:rPr>
        <w:rFonts w:ascii="Arial" w:hAnsi="Arial" w:hint="default"/>
      </w:rPr>
    </w:lvl>
    <w:lvl w:ilvl="8" w:tplc="AEE6182E" w:tentative="1">
      <w:start w:val="1"/>
      <w:numFmt w:val="bullet"/>
      <w:lvlText w:val="•"/>
      <w:lvlJc w:val="left"/>
      <w:pPr>
        <w:tabs>
          <w:tab w:val="num" w:pos="6480"/>
        </w:tabs>
        <w:ind w:left="6480" w:hanging="360"/>
      </w:pPr>
      <w:rPr>
        <w:rFonts w:ascii="Arial" w:hAnsi="Arial" w:hint="default"/>
      </w:rPr>
    </w:lvl>
  </w:abstractNum>
  <w:abstractNum w:abstractNumId="4">
    <w:nsid w:val="20AA4F77"/>
    <w:multiLevelType w:val="hybridMultilevel"/>
    <w:tmpl w:val="B67AF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1BB4DD5"/>
    <w:multiLevelType w:val="multilevel"/>
    <w:tmpl w:val="3E34D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6321869"/>
    <w:multiLevelType w:val="hybridMultilevel"/>
    <w:tmpl w:val="D7EC06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2E8A1830"/>
    <w:multiLevelType w:val="hybridMultilevel"/>
    <w:tmpl w:val="24AC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3554F9A"/>
    <w:multiLevelType w:val="multilevel"/>
    <w:tmpl w:val="15221A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4272BFF"/>
    <w:multiLevelType w:val="multilevel"/>
    <w:tmpl w:val="1DE676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57150137"/>
    <w:multiLevelType w:val="multilevel"/>
    <w:tmpl w:val="999ECE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C2422B8"/>
    <w:multiLevelType w:val="hybridMultilevel"/>
    <w:tmpl w:val="5EDA3178"/>
    <w:lvl w:ilvl="0" w:tplc="35AA26D6">
      <w:start w:val="1"/>
      <w:numFmt w:val="bullet"/>
      <w:lvlText w:val="•"/>
      <w:lvlJc w:val="left"/>
      <w:pPr>
        <w:tabs>
          <w:tab w:val="num" w:pos="720"/>
        </w:tabs>
        <w:ind w:left="720" w:hanging="360"/>
      </w:pPr>
      <w:rPr>
        <w:rFonts w:ascii="Arial" w:hAnsi="Arial" w:hint="default"/>
      </w:rPr>
    </w:lvl>
    <w:lvl w:ilvl="1" w:tplc="22EE5A8A" w:tentative="1">
      <w:start w:val="1"/>
      <w:numFmt w:val="bullet"/>
      <w:lvlText w:val="•"/>
      <w:lvlJc w:val="left"/>
      <w:pPr>
        <w:tabs>
          <w:tab w:val="num" w:pos="1440"/>
        </w:tabs>
        <w:ind w:left="1440" w:hanging="360"/>
      </w:pPr>
      <w:rPr>
        <w:rFonts w:ascii="Arial" w:hAnsi="Arial" w:hint="default"/>
      </w:rPr>
    </w:lvl>
    <w:lvl w:ilvl="2" w:tplc="BAC6C3F6" w:tentative="1">
      <w:start w:val="1"/>
      <w:numFmt w:val="bullet"/>
      <w:lvlText w:val="•"/>
      <w:lvlJc w:val="left"/>
      <w:pPr>
        <w:tabs>
          <w:tab w:val="num" w:pos="2160"/>
        </w:tabs>
        <w:ind w:left="2160" w:hanging="360"/>
      </w:pPr>
      <w:rPr>
        <w:rFonts w:ascii="Arial" w:hAnsi="Arial" w:hint="default"/>
      </w:rPr>
    </w:lvl>
    <w:lvl w:ilvl="3" w:tplc="6DA0EFE8" w:tentative="1">
      <w:start w:val="1"/>
      <w:numFmt w:val="bullet"/>
      <w:lvlText w:val="•"/>
      <w:lvlJc w:val="left"/>
      <w:pPr>
        <w:tabs>
          <w:tab w:val="num" w:pos="2880"/>
        </w:tabs>
        <w:ind w:left="2880" w:hanging="360"/>
      </w:pPr>
      <w:rPr>
        <w:rFonts w:ascii="Arial" w:hAnsi="Arial" w:hint="default"/>
      </w:rPr>
    </w:lvl>
    <w:lvl w:ilvl="4" w:tplc="5BF09C6C" w:tentative="1">
      <w:start w:val="1"/>
      <w:numFmt w:val="bullet"/>
      <w:lvlText w:val="•"/>
      <w:lvlJc w:val="left"/>
      <w:pPr>
        <w:tabs>
          <w:tab w:val="num" w:pos="3600"/>
        </w:tabs>
        <w:ind w:left="3600" w:hanging="360"/>
      </w:pPr>
      <w:rPr>
        <w:rFonts w:ascii="Arial" w:hAnsi="Arial" w:hint="default"/>
      </w:rPr>
    </w:lvl>
    <w:lvl w:ilvl="5" w:tplc="64DA9DC2" w:tentative="1">
      <w:start w:val="1"/>
      <w:numFmt w:val="bullet"/>
      <w:lvlText w:val="•"/>
      <w:lvlJc w:val="left"/>
      <w:pPr>
        <w:tabs>
          <w:tab w:val="num" w:pos="4320"/>
        </w:tabs>
        <w:ind w:left="4320" w:hanging="360"/>
      </w:pPr>
      <w:rPr>
        <w:rFonts w:ascii="Arial" w:hAnsi="Arial" w:hint="default"/>
      </w:rPr>
    </w:lvl>
    <w:lvl w:ilvl="6" w:tplc="9E221C94" w:tentative="1">
      <w:start w:val="1"/>
      <w:numFmt w:val="bullet"/>
      <w:lvlText w:val="•"/>
      <w:lvlJc w:val="left"/>
      <w:pPr>
        <w:tabs>
          <w:tab w:val="num" w:pos="5040"/>
        </w:tabs>
        <w:ind w:left="5040" w:hanging="360"/>
      </w:pPr>
      <w:rPr>
        <w:rFonts w:ascii="Arial" w:hAnsi="Arial" w:hint="default"/>
      </w:rPr>
    </w:lvl>
    <w:lvl w:ilvl="7" w:tplc="BF3A957E" w:tentative="1">
      <w:start w:val="1"/>
      <w:numFmt w:val="bullet"/>
      <w:lvlText w:val="•"/>
      <w:lvlJc w:val="left"/>
      <w:pPr>
        <w:tabs>
          <w:tab w:val="num" w:pos="5760"/>
        </w:tabs>
        <w:ind w:left="5760" w:hanging="360"/>
      </w:pPr>
      <w:rPr>
        <w:rFonts w:ascii="Arial" w:hAnsi="Arial" w:hint="default"/>
      </w:rPr>
    </w:lvl>
    <w:lvl w:ilvl="8" w:tplc="8A2E7382" w:tentative="1">
      <w:start w:val="1"/>
      <w:numFmt w:val="bullet"/>
      <w:lvlText w:val="•"/>
      <w:lvlJc w:val="left"/>
      <w:pPr>
        <w:tabs>
          <w:tab w:val="num" w:pos="6480"/>
        </w:tabs>
        <w:ind w:left="6480" w:hanging="360"/>
      </w:pPr>
      <w:rPr>
        <w:rFonts w:ascii="Arial" w:hAnsi="Arial" w:hint="default"/>
      </w:rPr>
    </w:lvl>
  </w:abstractNum>
  <w:abstractNum w:abstractNumId="12">
    <w:nsid w:val="5F0931A4"/>
    <w:multiLevelType w:val="hybridMultilevel"/>
    <w:tmpl w:val="973425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nsid w:val="66E35951"/>
    <w:multiLevelType w:val="multilevel"/>
    <w:tmpl w:val="A2E2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2B48F7"/>
    <w:multiLevelType w:val="hybridMultilevel"/>
    <w:tmpl w:val="D48EE0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A38372C"/>
    <w:multiLevelType w:val="hybridMultilevel"/>
    <w:tmpl w:val="ABF45BC0"/>
    <w:lvl w:ilvl="0" w:tplc="46C66B50">
      <w:start w:val="1"/>
      <w:numFmt w:val="bullet"/>
      <w:lvlText w:val="•"/>
      <w:lvlJc w:val="left"/>
      <w:pPr>
        <w:tabs>
          <w:tab w:val="num" w:pos="720"/>
        </w:tabs>
        <w:ind w:left="720" w:hanging="360"/>
      </w:pPr>
      <w:rPr>
        <w:rFonts w:ascii="Arial" w:hAnsi="Arial" w:hint="default"/>
      </w:rPr>
    </w:lvl>
    <w:lvl w:ilvl="1" w:tplc="37C270F4" w:tentative="1">
      <w:start w:val="1"/>
      <w:numFmt w:val="bullet"/>
      <w:lvlText w:val="•"/>
      <w:lvlJc w:val="left"/>
      <w:pPr>
        <w:tabs>
          <w:tab w:val="num" w:pos="1440"/>
        </w:tabs>
        <w:ind w:left="1440" w:hanging="360"/>
      </w:pPr>
      <w:rPr>
        <w:rFonts w:ascii="Arial" w:hAnsi="Arial" w:hint="default"/>
      </w:rPr>
    </w:lvl>
    <w:lvl w:ilvl="2" w:tplc="AE8E28CA" w:tentative="1">
      <w:start w:val="1"/>
      <w:numFmt w:val="bullet"/>
      <w:lvlText w:val="•"/>
      <w:lvlJc w:val="left"/>
      <w:pPr>
        <w:tabs>
          <w:tab w:val="num" w:pos="2160"/>
        </w:tabs>
        <w:ind w:left="2160" w:hanging="360"/>
      </w:pPr>
      <w:rPr>
        <w:rFonts w:ascii="Arial" w:hAnsi="Arial" w:hint="default"/>
      </w:rPr>
    </w:lvl>
    <w:lvl w:ilvl="3" w:tplc="44281F6C" w:tentative="1">
      <w:start w:val="1"/>
      <w:numFmt w:val="bullet"/>
      <w:lvlText w:val="•"/>
      <w:lvlJc w:val="left"/>
      <w:pPr>
        <w:tabs>
          <w:tab w:val="num" w:pos="2880"/>
        </w:tabs>
        <w:ind w:left="2880" w:hanging="360"/>
      </w:pPr>
      <w:rPr>
        <w:rFonts w:ascii="Arial" w:hAnsi="Arial" w:hint="default"/>
      </w:rPr>
    </w:lvl>
    <w:lvl w:ilvl="4" w:tplc="DF44C78C" w:tentative="1">
      <w:start w:val="1"/>
      <w:numFmt w:val="bullet"/>
      <w:lvlText w:val="•"/>
      <w:lvlJc w:val="left"/>
      <w:pPr>
        <w:tabs>
          <w:tab w:val="num" w:pos="3600"/>
        </w:tabs>
        <w:ind w:left="3600" w:hanging="360"/>
      </w:pPr>
      <w:rPr>
        <w:rFonts w:ascii="Arial" w:hAnsi="Arial" w:hint="default"/>
      </w:rPr>
    </w:lvl>
    <w:lvl w:ilvl="5" w:tplc="C17641C8" w:tentative="1">
      <w:start w:val="1"/>
      <w:numFmt w:val="bullet"/>
      <w:lvlText w:val="•"/>
      <w:lvlJc w:val="left"/>
      <w:pPr>
        <w:tabs>
          <w:tab w:val="num" w:pos="4320"/>
        </w:tabs>
        <w:ind w:left="4320" w:hanging="360"/>
      </w:pPr>
      <w:rPr>
        <w:rFonts w:ascii="Arial" w:hAnsi="Arial" w:hint="default"/>
      </w:rPr>
    </w:lvl>
    <w:lvl w:ilvl="6" w:tplc="29947E60" w:tentative="1">
      <w:start w:val="1"/>
      <w:numFmt w:val="bullet"/>
      <w:lvlText w:val="•"/>
      <w:lvlJc w:val="left"/>
      <w:pPr>
        <w:tabs>
          <w:tab w:val="num" w:pos="5040"/>
        </w:tabs>
        <w:ind w:left="5040" w:hanging="360"/>
      </w:pPr>
      <w:rPr>
        <w:rFonts w:ascii="Arial" w:hAnsi="Arial" w:hint="default"/>
      </w:rPr>
    </w:lvl>
    <w:lvl w:ilvl="7" w:tplc="B99AD3FC" w:tentative="1">
      <w:start w:val="1"/>
      <w:numFmt w:val="bullet"/>
      <w:lvlText w:val="•"/>
      <w:lvlJc w:val="left"/>
      <w:pPr>
        <w:tabs>
          <w:tab w:val="num" w:pos="5760"/>
        </w:tabs>
        <w:ind w:left="5760" w:hanging="360"/>
      </w:pPr>
      <w:rPr>
        <w:rFonts w:ascii="Arial" w:hAnsi="Arial" w:hint="default"/>
      </w:rPr>
    </w:lvl>
    <w:lvl w:ilvl="8" w:tplc="F95CD232" w:tentative="1">
      <w:start w:val="1"/>
      <w:numFmt w:val="bullet"/>
      <w:lvlText w:val="•"/>
      <w:lvlJc w:val="left"/>
      <w:pPr>
        <w:tabs>
          <w:tab w:val="num" w:pos="6480"/>
        </w:tabs>
        <w:ind w:left="6480" w:hanging="360"/>
      </w:pPr>
      <w:rPr>
        <w:rFonts w:ascii="Arial" w:hAnsi="Arial" w:hint="default"/>
      </w:rPr>
    </w:lvl>
  </w:abstractNum>
  <w:abstractNum w:abstractNumId="16">
    <w:nsid w:val="700E1F1A"/>
    <w:multiLevelType w:val="hybridMultilevel"/>
    <w:tmpl w:val="B2BE9118"/>
    <w:lvl w:ilvl="0" w:tplc="DE029BCA">
      <w:start w:val="1"/>
      <w:numFmt w:val="bullet"/>
      <w:lvlText w:val="•"/>
      <w:lvlJc w:val="left"/>
      <w:pPr>
        <w:tabs>
          <w:tab w:val="num" w:pos="720"/>
        </w:tabs>
        <w:ind w:left="720" w:hanging="360"/>
      </w:pPr>
      <w:rPr>
        <w:rFonts w:ascii="Arial" w:hAnsi="Arial" w:hint="default"/>
      </w:rPr>
    </w:lvl>
    <w:lvl w:ilvl="1" w:tplc="14B6FD5A" w:tentative="1">
      <w:start w:val="1"/>
      <w:numFmt w:val="bullet"/>
      <w:lvlText w:val="•"/>
      <w:lvlJc w:val="left"/>
      <w:pPr>
        <w:tabs>
          <w:tab w:val="num" w:pos="1440"/>
        </w:tabs>
        <w:ind w:left="1440" w:hanging="360"/>
      </w:pPr>
      <w:rPr>
        <w:rFonts w:ascii="Arial" w:hAnsi="Arial" w:hint="default"/>
      </w:rPr>
    </w:lvl>
    <w:lvl w:ilvl="2" w:tplc="132CE61C" w:tentative="1">
      <w:start w:val="1"/>
      <w:numFmt w:val="bullet"/>
      <w:lvlText w:val="•"/>
      <w:lvlJc w:val="left"/>
      <w:pPr>
        <w:tabs>
          <w:tab w:val="num" w:pos="2160"/>
        </w:tabs>
        <w:ind w:left="2160" w:hanging="360"/>
      </w:pPr>
      <w:rPr>
        <w:rFonts w:ascii="Arial" w:hAnsi="Arial" w:hint="default"/>
      </w:rPr>
    </w:lvl>
    <w:lvl w:ilvl="3" w:tplc="46F8EEF2" w:tentative="1">
      <w:start w:val="1"/>
      <w:numFmt w:val="bullet"/>
      <w:lvlText w:val="•"/>
      <w:lvlJc w:val="left"/>
      <w:pPr>
        <w:tabs>
          <w:tab w:val="num" w:pos="2880"/>
        </w:tabs>
        <w:ind w:left="2880" w:hanging="360"/>
      </w:pPr>
      <w:rPr>
        <w:rFonts w:ascii="Arial" w:hAnsi="Arial" w:hint="default"/>
      </w:rPr>
    </w:lvl>
    <w:lvl w:ilvl="4" w:tplc="388CB7AA" w:tentative="1">
      <w:start w:val="1"/>
      <w:numFmt w:val="bullet"/>
      <w:lvlText w:val="•"/>
      <w:lvlJc w:val="left"/>
      <w:pPr>
        <w:tabs>
          <w:tab w:val="num" w:pos="3600"/>
        </w:tabs>
        <w:ind w:left="3600" w:hanging="360"/>
      </w:pPr>
      <w:rPr>
        <w:rFonts w:ascii="Arial" w:hAnsi="Arial" w:hint="default"/>
      </w:rPr>
    </w:lvl>
    <w:lvl w:ilvl="5" w:tplc="7B280E54" w:tentative="1">
      <w:start w:val="1"/>
      <w:numFmt w:val="bullet"/>
      <w:lvlText w:val="•"/>
      <w:lvlJc w:val="left"/>
      <w:pPr>
        <w:tabs>
          <w:tab w:val="num" w:pos="4320"/>
        </w:tabs>
        <w:ind w:left="4320" w:hanging="360"/>
      </w:pPr>
      <w:rPr>
        <w:rFonts w:ascii="Arial" w:hAnsi="Arial" w:hint="default"/>
      </w:rPr>
    </w:lvl>
    <w:lvl w:ilvl="6" w:tplc="F59AA112" w:tentative="1">
      <w:start w:val="1"/>
      <w:numFmt w:val="bullet"/>
      <w:lvlText w:val="•"/>
      <w:lvlJc w:val="left"/>
      <w:pPr>
        <w:tabs>
          <w:tab w:val="num" w:pos="5040"/>
        </w:tabs>
        <w:ind w:left="5040" w:hanging="360"/>
      </w:pPr>
      <w:rPr>
        <w:rFonts w:ascii="Arial" w:hAnsi="Arial" w:hint="default"/>
      </w:rPr>
    </w:lvl>
    <w:lvl w:ilvl="7" w:tplc="9648BE46" w:tentative="1">
      <w:start w:val="1"/>
      <w:numFmt w:val="bullet"/>
      <w:lvlText w:val="•"/>
      <w:lvlJc w:val="left"/>
      <w:pPr>
        <w:tabs>
          <w:tab w:val="num" w:pos="5760"/>
        </w:tabs>
        <w:ind w:left="5760" w:hanging="360"/>
      </w:pPr>
      <w:rPr>
        <w:rFonts w:ascii="Arial" w:hAnsi="Arial" w:hint="default"/>
      </w:rPr>
    </w:lvl>
    <w:lvl w:ilvl="8" w:tplc="FCB8D51C" w:tentative="1">
      <w:start w:val="1"/>
      <w:numFmt w:val="bullet"/>
      <w:lvlText w:val="•"/>
      <w:lvlJc w:val="left"/>
      <w:pPr>
        <w:tabs>
          <w:tab w:val="num" w:pos="6480"/>
        </w:tabs>
        <w:ind w:left="6480" w:hanging="360"/>
      </w:pPr>
      <w:rPr>
        <w:rFonts w:ascii="Arial" w:hAnsi="Arial" w:hint="default"/>
      </w:rPr>
    </w:lvl>
  </w:abstractNum>
  <w:abstractNum w:abstractNumId="17">
    <w:nsid w:val="75311DD5"/>
    <w:multiLevelType w:val="hybridMultilevel"/>
    <w:tmpl w:val="51B631E8"/>
    <w:lvl w:ilvl="0" w:tplc="FEEE9F9A">
      <w:start w:val="1"/>
      <w:numFmt w:val="bullet"/>
      <w:lvlText w:val="•"/>
      <w:lvlJc w:val="left"/>
      <w:pPr>
        <w:tabs>
          <w:tab w:val="num" w:pos="720"/>
        </w:tabs>
        <w:ind w:left="720" w:hanging="360"/>
      </w:pPr>
      <w:rPr>
        <w:rFonts w:ascii="Arial" w:hAnsi="Arial" w:hint="default"/>
      </w:rPr>
    </w:lvl>
    <w:lvl w:ilvl="1" w:tplc="5E9E3444" w:tentative="1">
      <w:start w:val="1"/>
      <w:numFmt w:val="bullet"/>
      <w:lvlText w:val="•"/>
      <w:lvlJc w:val="left"/>
      <w:pPr>
        <w:tabs>
          <w:tab w:val="num" w:pos="1440"/>
        </w:tabs>
        <w:ind w:left="1440" w:hanging="360"/>
      </w:pPr>
      <w:rPr>
        <w:rFonts w:ascii="Arial" w:hAnsi="Arial" w:hint="default"/>
      </w:rPr>
    </w:lvl>
    <w:lvl w:ilvl="2" w:tplc="609215D0" w:tentative="1">
      <w:start w:val="1"/>
      <w:numFmt w:val="bullet"/>
      <w:lvlText w:val="•"/>
      <w:lvlJc w:val="left"/>
      <w:pPr>
        <w:tabs>
          <w:tab w:val="num" w:pos="2160"/>
        </w:tabs>
        <w:ind w:left="2160" w:hanging="360"/>
      </w:pPr>
      <w:rPr>
        <w:rFonts w:ascii="Arial" w:hAnsi="Arial" w:hint="default"/>
      </w:rPr>
    </w:lvl>
    <w:lvl w:ilvl="3" w:tplc="4006B0A8" w:tentative="1">
      <w:start w:val="1"/>
      <w:numFmt w:val="bullet"/>
      <w:lvlText w:val="•"/>
      <w:lvlJc w:val="left"/>
      <w:pPr>
        <w:tabs>
          <w:tab w:val="num" w:pos="2880"/>
        </w:tabs>
        <w:ind w:left="2880" w:hanging="360"/>
      </w:pPr>
      <w:rPr>
        <w:rFonts w:ascii="Arial" w:hAnsi="Arial" w:hint="default"/>
      </w:rPr>
    </w:lvl>
    <w:lvl w:ilvl="4" w:tplc="9FA87426" w:tentative="1">
      <w:start w:val="1"/>
      <w:numFmt w:val="bullet"/>
      <w:lvlText w:val="•"/>
      <w:lvlJc w:val="left"/>
      <w:pPr>
        <w:tabs>
          <w:tab w:val="num" w:pos="3600"/>
        </w:tabs>
        <w:ind w:left="3600" w:hanging="360"/>
      </w:pPr>
      <w:rPr>
        <w:rFonts w:ascii="Arial" w:hAnsi="Arial" w:hint="default"/>
      </w:rPr>
    </w:lvl>
    <w:lvl w:ilvl="5" w:tplc="44307640" w:tentative="1">
      <w:start w:val="1"/>
      <w:numFmt w:val="bullet"/>
      <w:lvlText w:val="•"/>
      <w:lvlJc w:val="left"/>
      <w:pPr>
        <w:tabs>
          <w:tab w:val="num" w:pos="4320"/>
        </w:tabs>
        <w:ind w:left="4320" w:hanging="360"/>
      </w:pPr>
      <w:rPr>
        <w:rFonts w:ascii="Arial" w:hAnsi="Arial" w:hint="default"/>
      </w:rPr>
    </w:lvl>
    <w:lvl w:ilvl="6" w:tplc="0B6694D4" w:tentative="1">
      <w:start w:val="1"/>
      <w:numFmt w:val="bullet"/>
      <w:lvlText w:val="•"/>
      <w:lvlJc w:val="left"/>
      <w:pPr>
        <w:tabs>
          <w:tab w:val="num" w:pos="5040"/>
        </w:tabs>
        <w:ind w:left="5040" w:hanging="360"/>
      </w:pPr>
      <w:rPr>
        <w:rFonts w:ascii="Arial" w:hAnsi="Arial" w:hint="default"/>
      </w:rPr>
    </w:lvl>
    <w:lvl w:ilvl="7" w:tplc="1C6E1B76" w:tentative="1">
      <w:start w:val="1"/>
      <w:numFmt w:val="bullet"/>
      <w:lvlText w:val="•"/>
      <w:lvlJc w:val="left"/>
      <w:pPr>
        <w:tabs>
          <w:tab w:val="num" w:pos="5760"/>
        </w:tabs>
        <w:ind w:left="5760" w:hanging="360"/>
      </w:pPr>
      <w:rPr>
        <w:rFonts w:ascii="Arial" w:hAnsi="Arial" w:hint="default"/>
      </w:rPr>
    </w:lvl>
    <w:lvl w:ilvl="8" w:tplc="C2D0531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5"/>
  </w:num>
  <w:num w:numId="3">
    <w:abstractNumId w:val="8"/>
  </w:num>
  <w:num w:numId="4">
    <w:abstractNumId w:val="9"/>
  </w:num>
  <w:num w:numId="5">
    <w:abstractNumId w:val="7"/>
  </w:num>
  <w:num w:numId="6">
    <w:abstractNumId w:val="4"/>
  </w:num>
  <w:num w:numId="7">
    <w:abstractNumId w:val="14"/>
  </w:num>
  <w:num w:numId="8">
    <w:abstractNumId w:val="17"/>
  </w:num>
  <w:num w:numId="9">
    <w:abstractNumId w:val="12"/>
  </w:num>
  <w:num w:numId="10">
    <w:abstractNumId w:val="6"/>
  </w:num>
  <w:num w:numId="11">
    <w:abstractNumId w:val="11"/>
  </w:num>
  <w:num w:numId="12">
    <w:abstractNumId w:val="15"/>
  </w:num>
  <w:num w:numId="13">
    <w:abstractNumId w:val="16"/>
  </w:num>
  <w:num w:numId="14">
    <w:abstractNumId w:val="3"/>
  </w:num>
  <w:num w:numId="15">
    <w:abstractNumId w:val="1"/>
  </w:num>
  <w:num w:numId="16">
    <w:abstractNumId w:val="2"/>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defaultTabStop w:val="720"/>
  <w:hyphenationZone w:val="425"/>
  <w:characterSpacingControl w:val="doNotCompress"/>
  <w:compat>
    <w:compatSetting w:name="compatibilityMode" w:uri="http://schemas.microsoft.com/office/word" w:val="14"/>
  </w:compat>
  <w:rsids>
    <w:rsidRoot w:val="006E43BF"/>
    <w:rsid w:val="000176DE"/>
    <w:rsid w:val="001D1AC3"/>
    <w:rsid w:val="002D0B79"/>
    <w:rsid w:val="00331C70"/>
    <w:rsid w:val="00376719"/>
    <w:rsid w:val="004461AE"/>
    <w:rsid w:val="0046669A"/>
    <w:rsid w:val="004C3F13"/>
    <w:rsid w:val="004F159F"/>
    <w:rsid w:val="00502B12"/>
    <w:rsid w:val="006A26D4"/>
    <w:rsid w:val="006E43BF"/>
    <w:rsid w:val="007701BC"/>
    <w:rsid w:val="007B06E7"/>
    <w:rsid w:val="00841C32"/>
    <w:rsid w:val="00897FCF"/>
    <w:rsid w:val="009144F3"/>
    <w:rsid w:val="009215E7"/>
    <w:rsid w:val="009238A0"/>
    <w:rsid w:val="00957177"/>
    <w:rsid w:val="00964BAA"/>
    <w:rsid w:val="00A25AF0"/>
    <w:rsid w:val="00A2629A"/>
    <w:rsid w:val="00AE6F73"/>
    <w:rsid w:val="00B536DB"/>
    <w:rsid w:val="00BC0324"/>
    <w:rsid w:val="00BE20BF"/>
    <w:rsid w:val="00E37E2E"/>
    <w:rsid w:val="00E46E30"/>
    <w:rsid w:val="00F85E12"/>
    <w:rsid w:val="00FE7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Quattrocento Sans" w:eastAsia="Quattrocento Sans" w:hAnsi="Quattrocento Sans" w:cs="Quattrocento Sans"/>
        <w:color w:val="000000"/>
        <w:sz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rPr>
  </w:style>
  <w:style w:type="paragraph" w:styleId="Kop2">
    <w:name w:val="heading 2"/>
    <w:basedOn w:val="Standaard"/>
    <w:next w:val="Standaard"/>
    <w:pPr>
      <w:keepNext/>
      <w:keepLines/>
      <w:spacing w:before="360" w:after="80"/>
      <w:contextualSpacing/>
      <w:outlineLvl w:val="1"/>
    </w:pPr>
    <w:rPr>
      <w:b/>
      <w:sz w:val="36"/>
    </w:rPr>
  </w:style>
  <w:style w:type="paragraph" w:styleId="Kop3">
    <w:name w:val="heading 3"/>
    <w:basedOn w:val="Standaard"/>
    <w:next w:val="Standaard"/>
    <w:pPr>
      <w:keepNext/>
      <w:keepLines/>
      <w:spacing w:before="280" w:after="80"/>
      <w:contextualSpacing/>
      <w:outlineLvl w:val="2"/>
    </w:pPr>
    <w:rPr>
      <w:b/>
      <w:sz w:val="28"/>
    </w:rPr>
  </w:style>
  <w:style w:type="paragraph" w:styleId="Kop4">
    <w:name w:val="heading 4"/>
    <w:basedOn w:val="Standaard"/>
    <w:next w:val="Standaard"/>
    <w:pPr>
      <w:keepNext/>
      <w:keepLines/>
      <w:spacing w:before="240" w:after="40"/>
      <w:contextualSpacing/>
      <w:outlineLvl w:val="3"/>
    </w:pPr>
    <w:rPr>
      <w:b/>
      <w:sz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rPr>
  </w:style>
  <w:style w:type="paragraph" w:styleId="Lijstalinea">
    <w:name w:val="List Paragraph"/>
    <w:basedOn w:val="Standaard"/>
    <w:uiPriority w:val="34"/>
    <w:qFormat/>
    <w:rsid w:val="00B536DB"/>
    <w:pPr>
      <w:ind w:left="720"/>
      <w:contextualSpacing/>
    </w:pPr>
    <w:rPr>
      <w:rFonts w:ascii="Segoe UI" w:eastAsiaTheme="minorHAnsi" w:hAnsi="Segoe UI" w:cstheme="minorBidi"/>
      <w:color w:val="auto"/>
      <w:szCs w:val="22"/>
      <w:lang w:val="en-US" w:eastAsia="en-US"/>
    </w:rPr>
  </w:style>
  <w:style w:type="paragraph" w:styleId="Normaalweb">
    <w:name w:val="Normal (Web)"/>
    <w:basedOn w:val="Standaard"/>
    <w:uiPriority w:val="99"/>
    <w:semiHidden/>
    <w:unhideWhenUsed/>
    <w:rsid w:val="004C3F13"/>
    <w:rPr>
      <w:rFonts w:ascii="Times New Roman" w:hAnsi="Times New Roman" w:cs="Times New Roman"/>
      <w:sz w:val="24"/>
      <w:szCs w:val="24"/>
    </w:rPr>
  </w:style>
  <w:style w:type="paragraph" w:styleId="Geenafstand">
    <w:name w:val="No Spacing"/>
    <w:uiPriority w:val="1"/>
    <w:qFormat/>
    <w:rsid w:val="004C3F13"/>
    <w:pPr>
      <w:spacing w:after="0" w:line="240" w:lineRule="auto"/>
    </w:pPr>
  </w:style>
  <w:style w:type="character" w:styleId="Nadruk">
    <w:name w:val="Emphasis"/>
    <w:basedOn w:val="Standaardalinea-lettertype"/>
    <w:uiPriority w:val="20"/>
    <w:qFormat/>
    <w:rsid w:val="00897FCF"/>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Quattrocento Sans" w:eastAsia="Quattrocento Sans" w:hAnsi="Quattrocento Sans" w:cs="Quattrocento Sans"/>
        <w:color w:val="000000"/>
        <w:sz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rPr>
  </w:style>
  <w:style w:type="paragraph" w:styleId="Kop2">
    <w:name w:val="heading 2"/>
    <w:basedOn w:val="Standaard"/>
    <w:next w:val="Standaard"/>
    <w:pPr>
      <w:keepNext/>
      <w:keepLines/>
      <w:spacing w:before="360" w:after="80"/>
      <w:contextualSpacing/>
      <w:outlineLvl w:val="1"/>
    </w:pPr>
    <w:rPr>
      <w:b/>
      <w:sz w:val="36"/>
    </w:rPr>
  </w:style>
  <w:style w:type="paragraph" w:styleId="Kop3">
    <w:name w:val="heading 3"/>
    <w:basedOn w:val="Standaard"/>
    <w:next w:val="Standaard"/>
    <w:pPr>
      <w:keepNext/>
      <w:keepLines/>
      <w:spacing w:before="280" w:after="80"/>
      <w:contextualSpacing/>
      <w:outlineLvl w:val="2"/>
    </w:pPr>
    <w:rPr>
      <w:b/>
      <w:sz w:val="28"/>
    </w:rPr>
  </w:style>
  <w:style w:type="paragraph" w:styleId="Kop4">
    <w:name w:val="heading 4"/>
    <w:basedOn w:val="Standaard"/>
    <w:next w:val="Standaard"/>
    <w:pPr>
      <w:keepNext/>
      <w:keepLines/>
      <w:spacing w:before="240" w:after="40"/>
      <w:contextualSpacing/>
      <w:outlineLvl w:val="3"/>
    </w:pPr>
    <w:rPr>
      <w:b/>
      <w:sz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rPr>
  </w:style>
  <w:style w:type="paragraph" w:styleId="Lijstalinea">
    <w:name w:val="List Paragraph"/>
    <w:basedOn w:val="Standaard"/>
    <w:uiPriority w:val="34"/>
    <w:qFormat/>
    <w:rsid w:val="00B536DB"/>
    <w:pPr>
      <w:ind w:left="720"/>
      <w:contextualSpacing/>
    </w:pPr>
    <w:rPr>
      <w:rFonts w:ascii="Segoe UI" w:eastAsiaTheme="minorHAnsi" w:hAnsi="Segoe UI" w:cstheme="minorBidi"/>
      <w:color w:val="auto"/>
      <w:szCs w:val="22"/>
      <w:lang w:val="en-US" w:eastAsia="en-US"/>
    </w:rPr>
  </w:style>
  <w:style w:type="paragraph" w:styleId="Normaalweb">
    <w:name w:val="Normal (Web)"/>
    <w:basedOn w:val="Standaard"/>
    <w:uiPriority w:val="99"/>
    <w:semiHidden/>
    <w:unhideWhenUsed/>
    <w:rsid w:val="004C3F13"/>
    <w:rPr>
      <w:rFonts w:ascii="Times New Roman" w:hAnsi="Times New Roman" w:cs="Times New Roman"/>
      <w:sz w:val="24"/>
      <w:szCs w:val="24"/>
    </w:rPr>
  </w:style>
  <w:style w:type="paragraph" w:styleId="Geenafstand">
    <w:name w:val="No Spacing"/>
    <w:uiPriority w:val="1"/>
    <w:qFormat/>
    <w:rsid w:val="004C3F13"/>
    <w:pPr>
      <w:spacing w:after="0" w:line="240" w:lineRule="auto"/>
    </w:pPr>
  </w:style>
  <w:style w:type="character" w:styleId="Nadruk">
    <w:name w:val="Emphasis"/>
    <w:basedOn w:val="Standaardalinea-lettertype"/>
    <w:uiPriority w:val="20"/>
    <w:qFormat/>
    <w:rsid w:val="00897FCF"/>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6659">
      <w:bodyDiv w:val="1"/>
      <w:marLeft w:val="0"/>
      <w:marRight w:val="0"/>
      <w:marTop w:val="0"/>
      <w:marBottom w:val="0"/>
      <w:divBdr>
        <w:top w:val="none" w:sz="0" w:space="0" w:color="auto"/>
        <w:left w:val="none" w:sz="0" w:space="0" w:color="auto"/>
        <w:bottom w:val="none" w:sz="0" w:space="0" w:color="auto"/>
        <w:right w:val="none" w:sz="0" w:space="0" w:color="auto"/>
      </w:divBdr>
    </w:div>
    <w:div w:id="365562428">
      <w:bodyDiv w:val="1"/>
      <w:marLeft w:val="0"/>
      <w:marRight w:val="0"/>
      <w:marTop w:val="0"/>
      <w:marBottom w:val="0"/>
      <w:divBdr>
        <w:top w:val="none" w:sz="0" w:space="0" w:color="auto"/>
        <w:left w:val="none" w:sz="0" w:space="0" w:color="auto"/>
        <w:bottom w:val="none" w:sz="0" w:space="0" w:color="auto"/>
        <w:right w:val="none" w:sz="0" w:space="0" w:color="auto"/>
      </w:divBdr>
    </w:div>
    <w:div w:id="656032149">
      <w:bodyDiv w:val="1"/>
      <w:marLeft w:val="0"/>
      <w:marRight w:val="0"/>
      <w:marTop w:val="0"/>
      <w:marBottom w:val="0"/>
      <w:divBdr>
        <w:top w:val="none" w:sz="0" w:space="0" w:color="auto"/>
        <w:left w:val="none" w:sz="0" w:space="0" w:color="auto"/>
        <w:bottom w:val="none" w:sz="0" w:space="0" w:color="auto"/>
        <w:right w:val="none" w:sz="0" w:space="0" w:color="auto"/>
      </w:divBdr>
    </w:div>
    <w:div w:id="661199596">
      <w:bodyDiv w:val="1"/>
      <w:marLeft w:val="0"/>
      <w:marRight w:val="0"/>
      <w:marTop w:val="0"/>
      <w:marBottom w:val="0"/>
      <w:divBdr>
        <w:top w:val="none" w:sz="0" w:space="0" w:color="auto"/>
        <w:left w:val="none" w:sz="0" w:space="0" w:color="auto"/>
        <w:bottom w:val="none" w:sz="0" w:space="0" w:color="auto"/>
        <w:right w:val="none" w:sz="0" w:space="0" w:color="auto"/>
      </w:divBdr>
    </w:div>
    <w:div w:id="699208459">
      <w:bodyDiv w:val="1"/>
      <w:marLeft w:val="0"/>
      <w:marRight w:val="0"/>
      <w:marTop w:val="0"/>
      <w:marBottom w:val="0"/>
      <w:divBdr>
        <w:top w:val="none" w:sz="0" w:space="0" w:color="auto"/>
        <w:left w:val="none" w:sz="0" w:space="0" w:color="auto"/>
        <w:bottom w:val="none" w:sz="0" w:space="0" w:color="auto"/>
        <w:right w:val="none" w:sz="0" w:space="0" w:color="auto"/>
      </w:divBdr>
    </w:div>
    <w:div w:id="777917580">
      <w:bodyDiv w:val="1"/>
      <w:marLeft w:val="0"/>
      <w:marRight w:val="0"/>
      <w:marTop w:val="0"/>
      <w:marBottom w:val="0"/>
      <w:divBdr>
        <w:top w:val="none" w:sz="0" w:space="0" w:color="auto"/>
        <w:left w:val="none" w:sz="0" w:space="0" w:color="auto"/>
        <w:bottom w:val="none" w:sz="0" w:space="0" w:color="auto"/>
        <w:right w:val="none" w:sz="0" w:space="0" w:color="auto"/>
      </w:divBdr>
    </w:div>
    <w:div w:id="896362451">
      <w:bodyDiv w:val="1"/>
      <w:marLeft w:val="0"/>
      <w:marRight w:val="0"/>
      <w:marTop w:val="0"/>
      <w:marBottom w:val="0"/>
      <w:divBdr>
        <w:top w:val="none" w:sz="0" w:space="0" w:color="auto"/>
        <w:left w:val="none" w:sz="0" w:space="0" w:color="auto"/>
        <w:bottom w:val="none" w:sz="0" w:space="0" w:color="auto"/>
        <w:right w:val="none" w:sz="0" w:space="0" w:color="auto"/>
      </w:divBdr>
    </w:div>
    <w:div w:id="935094797">
      <w:bodyDiv w:val="1"/>
      <w:marLeft w:val="0"/>
      <w:marRight w:val="0"/>
      <w:marTop w:val="0"/>
      <w:marBottom w:val="0"/>
      <w:divBdr>
        <w:top w:val="none" w:sz="0" w:space="0" w:color="auto"/>
        <w:left w:val="none" w:sz="0" w:space="0" w:color="auto"/>
        <w:bottom w:val="none" w:sz="0" w:space="0" w:color="auto"/>
        <w:right w:val="none" w:sz="0" w:space="0" w:color="auto"/>
      </w:divBdr>
      <w:divsChild>
        <w:div w:id="461002419">
          <w:marLeft w:val="792"/>
          <w:marRight w:val="0"/>
          <w:marTop w:val="0"/>
          <w:marBottom w:val="200"/>
          <w:divBdr>
            <w:top w:val="none" w:sz="0" w:space="0" w:color="auto"/>
            <w:left w:val="none" w:sz="0" w:space="0" w:color="auto"/>
            <w:bottom w:val="none" w:sz="0" w:space="0" w:color="auto"/>
            <w:right w:val="none" w:sz="0" w:space="0" w:color="auto"/>
          </w:divBdr>
        </w:div>
        <w:div w:id="1081368370">
          <w:marLeft w:val="792"/>
          <w:marRight w:val="0"/>
          <w:marTop w:val="0"/>
          <w:marBottom w:val="200"/>
          <w:divBdr>
            <w:top w:val="none" w:sz="0" w:space="0" w:color="auto"/>
            <w:left w:val="none" w:sz="0" w:space="0" w:color="auto"/>
            <w:bottom w:val="none" w:sz="0" w:space="0" w:color="auto"/>
            <w:right w:val="none" w:sz="0" w:space="0" w:color="auto"/>
          </w:divBdr>
        </w:div>
        <w:div w:id="1377585976">
          <w:marLeft w:val="792"/>
          <w:marRight w:val="0"/>
          <w:marTop w:val="0"/>
          <w:marBottom w:val="200"/>
          <w:divBdr>
            <w:top w:val="none" w:sz="0" w:space="0" w:color="auto"/>
            <w:left w:val="none" w:sz="0" w:space="0" w:color="auto"/>
            <w:bottom w:val="none" w:sz="0" w:space="0" w:color="auto"/>
            <w:right w:val="none" w:sz="0" w:space="0" w:color="auto"/>
          </w:divBdr>
        </w:div>
        <w:div w:id="581329138">
          <w:marLeft w:val="792"/>
          <w:marRight w:val="0"/>
          <w:marTop w:val="0"/>
          <w:marBottom w:val="200"/>
          <w:divBdr>
            <w:top w:val="none" w:sz="0" w:space="0" w:color="auto"/>
            <w:left w:val="none" w:sz="0" w:space="0" w:color="auto"/>
            <w:bottom w:val="none" w:sz="0" w:space="0" w:color="auto"/>
            <w:right w:val="none" w:sz="0" w:space="0" w:color="auto"/>
          </w:divBdr>
        </w:div>
      </w:divsChild>
    </w:div>
    <w:div w:id="1058167332">
      <w:bodyDiv w:val="1"/>
      <w:marLeft w:val="0"/>
      <w:marRight w:val="0"/>
      <w:marTop w:val="0"/>
      <w:marBottom w:val="0"/>
      <w:divBdr>
        <w:top w:val="none" w:sz="0" w:space="0" w:color="auto"/>
        <w:left w:val="none" w:sz="0" w:space="0" w:color="auto"/>
        <w:bottom w:val="none" w:sz="0" w:space="0" w:color="auto"/>
        <w:right w:val="none" w:sz="0" w:space="0" w:color="auto"/>
      </w:divBdr>
      <w:divsChild>
        <w:div w:id="1130589136">
          <w:marLeft w:val="1267"/>
          <w:marRight w:val="0"/>
          <w:marTop w:val="0"/>
          <w:marBottom w:val="0"/>
          <w:divBdr>
            <w:top w:val="none" w:sz="0" w:space="0" w:color="auto"/>
            <w:left w:val="none" w:sz="0" w:space="0" w:color="auto"/>
            <w:bottom w:val="none" w:sz="0" w:space="0" w:color="auto"/>
            <w:right w:val="none" w:sz="0" w:space="0" w:color="auto"/>
          </w:divBdr>
        </w:div>
        <w:div w:id="2124687958">
          <w:marLeft w:val="1267"/>
          <w:marRight w:val="0"/>
          <w:marTop w:val="0"/>
          <w:marBottom w:val="0"/>
          <w:divBdr>
            <w:top w:val="none" w:sz="0" w:space="0" w:color="auto"/>
            <w:left w:val="none" w:sz="0" w:space="0" w:color="auto"/>
            <w:bottom w:val="none" w:sz="0" w:space="0" w:color="auto"/>
            <w:right w:val="none" w:sz="0" w:space="0" w:color="auto"/>
          </w:divBdr>
        </w:div>
      </w:divsChild>
    </w:div>
    <w:div w:id="1110005878">
      <w:bodyDiv w:val="1"/>
      <w:marLeft w:val="0"/>
      <w:marRight w:val="0"/>
      <w:marTop w:val="0"/>
      <w:marBottom w:val="0"/>
      <w:divBdr>
        <w:top w:val="none" w:sz="0" w:space="0" w:color="auto"/>
        <w:left w:val="none" w:sz="0" w:space="0" w:color="auto"/>
        <w:bottom w:val="none" w:sz="0" w:space="0" w:color="auto"/>
        <w:right w:val="none" w:sz="0" w:space="0" w:color="auto"/>
      </w:divBdr>
    </w:div>
    <w:div w:id="1226183656">
      <w:bodyDiv w:val="1"/>
      <w:marLeft w:val="0"/>
      <w:marRight w:val="0"/>
      <w:marTop w:val="0"/>
      <w:marBottom w:val="0"/>
      <w:divBdr>
        <w:top w:val="none" w:sz="0" w:space="0" w:color="auto"/>
        <w:left w:val="none" w:sz="0" w:space="0" w:color="auto"/>
        <w:bottom w:val="none" w:sz="0" w:space="0" w:color="auto"/>
        <w:right w:val="none" w:sz="0" w:space="0" w:color="auto"/>
      </w:divBdr>
    </w:div>
    <w:div w:id="1245264936">
      <w:bodyDiv w:val="1"/>
      <w:marLeft w:val="0"/>
      <w:marRight w:val="0"/>
      <w:marTop w:val="0"/>
      <w:marBottom w:val="0"/>
      <w:divBdr>
        <w:top w:val="none" w:sz="0" w:space="0" w:color="auto"/>
        <w:left w:val="none" w:sz="0" w:space="0" w:color="auto"/>
        <w:bottom w:val="none" w:sz="0" w:space="0" w:color="auto"/>
        <w:right w:val="none" w:sz="0" w:space="0" w:color="auto"/>
      </w:divBdr>
    </w:div>
    <w:div w:id="1263345099">
      <w:bodyDiv w:val="1"/>
      <w:marLeft w:val="0"/>
      <w:marRight w:val="0"/>
      <w:marTop w:val="0"/>
      <w:marBottom w:val="0"/>
      <w:divBdr>
        <w:top w:val="none" w:sz="0" w:space="0" w:color="auto"/>
        <w:left w:val="none" w:sz="0" w:space="0" w:color="auto"/>
        <w:bottom w:val="none" w:sz="0" w:space="0" w:color="auto"/>
        <w:right w:val="none" w:sz="0" w:space="0" w:color="auto"/>
      </w:divBdr>
    </w:div>
    <w:div w:id="1291015752">
      <w:bodyDiv w:val="1"/>
      <w:marLeft w:val="0"/>
      <w:marRight w:val="0"/>
      <w:marTop w:val="0"/>
      <w:marBottom w:val="0"/>
      <w:divBdr>
        <w:top w:val="none" w:sz="0" w:space="0" w:color="auto"/>
        <w:left w:val="none" w:sz="0" w:space="0" w:color="auto"/>
        <w:bottom w:val="none" w:sz="0" w:space="0" w:color="auto"/>
        <w:right w:val="none" w:sz="0" w:space="0" w:color="auto"/>
      </w:divBdr>
    </w:div>
    <w:div w:id="1313631551">
      <w:bodyDiv w:val="1"/>
      <w:marLeft w:val="0"/>
      <w:marRight w:val="0"/>
      <w:marTop w:val="0"/>
      <w:marBottom w:val="0"/>
      <w:divBdr>
        <w:top w:val="none" w:sz="0" w:space="0" w:color="auto"/>
        <w:left w:val="none" w:sz="0" w:space="0" w:color="auto"/>
        <w:bottom w:val="none" w:sz="0" w:space="0" w:color="auto"/>
        <w:right w:val="none" w:sz="0" w:space="0" w:color="auto"/>
      </w:divBdr>
      <w:divsChild>
        <w:div w:id="2057314140">
          <w:marLeft w:val="1267"/>
          <w:marRight w:val="0"/>
          <w:marTop w:val="0"/>
          <w:marBottom w:val="0"/>
          <w:divBdr>
            <w:top w:val="none" w:sz="0" w:space="0" w:color="auto"/>
            <w:left w:val="none" w:sz="0" w:space="0" w:color="auto"/>
            <w:bottom w:val="none" w:sz="0" w:space="0" w:color="auto"/>
            <w:right w:val="none" w:sz="0" w:space="0" w:color="auto"/>
          </w:divBdr>
        </w:div>
        <w:div w:id="802582648">
          <w:marLeft w:val="1267"/>
          <w:marRight w:val="0"/>
          <w:marTop w:val="0"/>
          <w:marBottom w:val="0"/>
          <w:divBdr>
            <w:top w:val="none" w:sz="0" w:space="0" w:color="auto"/>
            <w:left w:val="none" w:sz="0" w:space="0" w:color="auto"/>
            <w:bottom w:val="none" w:sz="0" w:space="0" w:color="auto"/>
            <w:right w:val="none" w:sz="0" w:space="0" w:color="auto"/>
          </w:divBdr>
        </w:div>
      </w:divsChild>
    </w:div>
    <w:div w:id="1316454395">
      <w:bodyDiv w:val="1"/>
      <w:marLeft w:val="0"/>
      <w:marRight w:val="0"/>
      <w:marTop w:val="0"/>
      <w:marBottom w:val="0"/>
      <w:divBdr>
        <w:top w:val="none" w:sz="0" w:space="0" w:color="auto"/>
        <w:left w:val="none" w:sz="0" w:space="0" w:color="auto"/>
        <w:bottom w:val="none" w:sz="0" w:space="0" w:color="auto"/>
        <w:right w:val="none" w:sz="0" w:space="0" w:color="auto"/>
      </w:divBdr>
    </w:div>
    <w:div w:id="1346323086">
      <w:bodyDiv w:val="1"/>
      <w:marLeft w:val="0"/>
      <w:marRight w:val="0"/>
      <w:marTop w:val="0"/>
      <w:marBottom w:val="0"/>
      <w:divBdr>
        <w:top w:val="none" w:sz="0" w:space="0" w:color="auto"/>
        <w:left w:val="none" w:sz="0" w:space="0" w:color="auto"/>
        <w:bottom w:val="none" w:sz="0" w:space="0" w:color="auto"/>
        <w:right w:val="none" w:sz="0" w:space="0" w:color="auto"/>
      </w:divBdr>
    </w:div>
    <w:div w:id="1419792158">
      <w:bodyDiv w:val="1"/>
      <w:marLeft w:val="0"/>
      <w:marRight w:val="0"/>
      <w:marTop w:val="0"/>
      <w:marBottom w:val="0"/>
      <w:divBdr>
        <w:top w:val="none" w:sz="0" w:space="0" w:color="auto"/>
        <w:left w:val="none" w:sz="0" w:space="0" w:color="auto"/>
        <w:bottom w:val="none" w:sz="0" w:space="0" w:color="auto"/>
        <w:right w:val="none" w:sz="0" w:space="0" w:color="auto"/>
      </w:divBdr>
    </w:div>
    <w:div w:id="1515263079">
      <w:bodyDiv w:val="1"/>
      <w:marLeft w:val="0"/>
      <w:marRight w:val="0"/>
      <w:marTop w:val="0"/>
      <w:marBottom w:val="0"/>
      <w:divBdr>
        <w:top w:val="none" w:sz="0" w:space="0" w:color="auto"/>
        <w:left w:val="none" w:sz="0" w:space="0" w:color="auto"/>
        <w:bottom w:val="none" w:sz="0" w:space="0" w:color="auto"/>
        <w:right w:val="none" w:sz="0" w:space="0" w:color="auto"/>
      </w:divBdr>
      <w:divsChild>
        <w:div w:id="1793859727">
          <w:marLeft w:val="547"/>
          <w:marRight w:val="0"/>
          <w:marTop w:val="88"/>
          <w:marBottom w:val="0"/>
          <w:divBdr>
            <w:top w:val="none" w:sz="0" w:space="0" w:color="auto"/>
            <w:left w:val="none" w:sz="0" w:space="0" w:color="auto"/>
            <w:bottom w:val="none" w:sz="0" w:space="0" w:color="auto"/>
            <w:right w:val="none" w:sz="0" w:space="0" w:color="auto"/>
          </w:divBdr>
        </w:div>
        <w:div w:id="2121294736">
          <w:marLeft w:val="547"/>
          <w:marRight w:val="0"/>
          <w:marTop w:val="88"/>
          <w:marBottom w:val="0"/>
          <w:divBdr>
            <w:top w:val="none" w:sz="0" w:space="0" w:color="auto"/>
            <w:left w:val="none" w:sz="0" w:space="0" w:color="auto"/>
            <w:bottom w:val="none" w:sz="0" w:space="0" w:color="auto"/>
            <w:right w:val="none" w:sz="0" w:space="0" w:color="auto"/>
          </w:divBdr>
        </w:div>
        <w:div w:id="2123374949">
          <w:marLeft w:val="547"/>
          <w:marRight w:val="0"/>
          <w:marTop w:val="88"/>
          <w:marBottom w:val="0"/>
          <w:divBdr>
            <w:top w:val="none" w:sz="0" w:space="0" w:color="auto"/>
            <w:left w:val="none" w:sz="0" w:space="0" w:color="auto"/>
            <w:bottom w:val="none" w:sz="0" w:space="0" w:color="auto"/>
            <w:right w:val="none" w:sz="0" w:space="0" w:color="auto"/>
          </w:divBdr>
        </w:div>
        <w:div w:id="1590845145">
          <w:marLeft w:val="547"/>
          <w:marRight w:val="0"/>
          <w:marTop w:val="88"/>
          <w:marBottom w:val="0"/>
          <w:divBdr>
            <w:top w:val="none" w:sz="0" w:space="0" w:color="auto"/>
            <w:left w:val="none" w:sz="0" w:space="0" w:color="auto"/>
            <w:bottom w:val="none" w:sz="0" w:space="0" w:color="auto"/>
            <w:right w:val="none" w:sz="0" w:space="0" w:color="auto"/>
          </w:divBdr>
        </w:div>
      </w:divsChild>
    </w:div>
    <w:div w:id="1527599684">
      <w:bodyDiv w:val="1"/>
      <w:marLeft w:val="0"/>
      <w:marRight w:val="0"/>
      <w:marTop w:val="0"/>
      <w:marBottom w:val="0"/>
      <w:divBdr>
        <w:top w:val="none" w:sz="0" w:space="0" w:color="auto"/>
        <w:left w:val="none" w:sz="0" w:space="0" w:color="auto"/>
        <w:bottom w:val="none" w:sz="0" w:space="0" w:color="auto"/>
        <w:right w:val="none" w:sz="0" w:space="0" w:color="auto"/>
      </w:divBdr>
    </w:div>
    <w:div w:id="1531721897">
      <w:bodyDiv w:val="1"/>
      <w:marLeft w:val="0"/>
      <w:marRight w:val="0"/>
      <w:marTop w:val="0"/>
      <w:marBottom w:val="0"/>
      <w:divBdr>
        <w:top w:val="none" w:sz="0" w:space="0" w:color="auto"/>
        <w:left w:val="none" w:sz="0" w:space="0" w:color="auto"/>
        <w:bottom w:val="none" w:sz="0" w:space="0" w:color="auto"/>
        <w:right w:val="none" w:sz="0" w:space="0" w:color="auto"/>
      </w:divBdr>
    </w:div>
    <w:div w:id="1556968859">
      <w:bodyDiv w:val="1"/>
      <w:marLeft w:val="0"/>
      <w:marRight w:val="0"/>
      <w:marTop w:val="0"/>
      <w:marBottom w:val="0"/>
      <w:divBdr>
        <w:top w:val="none" w:sz="0" w:space="0" w:color="auto"/>
        <w:left w:val="none" w:sz="0" w:space="0" w:color="auto"/>
        <w:bottom w:val="none" w:sz="0" w:space="0" w:color="auto"/>
        <w:right w:val="none" w:sz="0" w:space="0" w:color="auto"/>
      </w:divBdr>
      <w:divsChild>
        <w:div w:id="1374577801">
          <w:marLeft w:val="1267"/>
          <w:marRight w:val="0"/>
          <w:marTop w:val="0"/>
          <w:marBottom w:val="0"/>
          <w:divBdr>
            <w:top w:val="none" w:sz="0" w:space="0" w:color="auto"/>
            <w:left w:val="none" w:sz="0" w:space="0" w:color="auto"/>
            <w:bottom w:val="none" w:sz="0" w:space="0" w:color="auto"/>
            <w:right w:val="none" w:sz="0" w:space="0" w:color="auto"/>
          </w:divBdr>
        </w:div>
        <w:div w:id="672729938">
          <w:marLeft w:val="1267"/>
          <w:marRight w:val="0"/>
          <w:marTop w:val="0"/>
          <w:marBottom w:val="0"/>
          <w:divBdr>
            <w:top w:val="none" w:sz="0" w:space="0" w:color="auto"/>
            <w:left w:val="none" w:sz="0" w:space="0" w:color="auto"/>
            <w:bottom w:val="none" w:sz="0" w:space="0" w:color="auto"/>
            <w:right w:val="none" w:sz="0" w:space="0" w:color="auto"/>
          </w:divBdr>
        </w:div>
      </w:divsChild>
    </w:div>
    <w:div w:id="1647199494">
      <w:bodyDiv w:val="1"/>
      <w:marLeft w:val="0"/>
      <w:marRight w:val="0"/>
      <w:marTop w:val="0"/>
      <w:marBottom w:val="0"/>
      <w:divBdr>
        <w:top w:val="none" w:sz="0" w:space="0" w:color="auto"/>
        <w:left w:val="none" w:sz="0" w:space="0" w:color="auto"/>
        <w:bottom w:val="none" w:sz="0" w:space="0" w:color="auto"/>
        <w:right w:val="none" w:sz="0" w:space="0" w:color="auto"/>
      </w:divBdr>
      <w:divsChild>
        <w:div w:id="1396470271">
          <w:marLeft w:val="0"/>
          <w:marRight w:val="0"/>
          <w:marTop w:val="0"/>
          <w:marBottom w:val="0"/>
          <w:divBdr>
            <w:top w:val="single" w:sz="6" w:space="23" w:color="D7E8EE"/>
            <w:left w:val="none" w:sz="0" w:space="0" w:color="auto"/>
            <w:bottom w:val="none" w:sz="0" w:space="0" w:color="auto"/>
            <w:right w:val="none" w:sz="0" w:space="0" w:color="auto"/>
          </w:divBdr>
          <w:divsChild>
            <w:div w:id="1524435644">
              <w:marLeft w:val="0"/>
              <w:marRight w:val="0"/>
              <w:marTop w:val="0"/>
              <w:marBottom w:val="0"/>
              <w:divBdr>
                <w:top w:val="none" w:sz="0" w:space="0" w:color="auto"/>
                <w:left w:val="none" w:sz="0" w:space="0" w:color="auto"/>
                <w:bottom w:val="none" w:sz="0" w:space="0" w:color="auto"/>
                <w:right w:val="none" w:sz="0" w:space="0" w:color="auto"/>
              </w:divBdr>
              <w:divsChild>
                <w:div w:id="58478253">
                  <w:marLeft w:val="0"/>
                  <w:marRight w:val="0"/>
                  <w:marTop w:val="0"/>
                  <w:marBottom w:val="0"/>
                  <w:divBdr>
                    <w:top w:val="none" w:sz="0" w:space="0" w:color="auto"/>
                    <w:left w:val="none" w:sz="0" w:space="0" w:color="auto"/>
                    <w:bottom w:val="none" w:sz="0" w:space="0" w:color="auto"/>
                    <w:right w:val="none" w:sz="0" w:space="0" w:color="auto"/>
                  </w:divBdr>
                  <w:divsChild>
                    <w:div w:id="1528712050">
                      <w:marLeft w:val="0"/>
                      <w:marRight w:val="0"/>
                      <w:marTop w:val="0"/>
                      <w:marBottom w:val="0"/>
                      <w:divBdr>
                        <w:top w:val="none" w:sz="0" w:space="0" w:color="auto"/>
                        <w:left w:val="none" w:sz="0" w:space="0" w:color="auto"/>
                        <w:bottom w:val="none" w:sz="0" w:space="0" w:color="auto"/>
                        <w:right w:val="none" w:sz="0" w:space="0" w:color="auto"/>
                      </w:divBdr>
                      <w:divsChild>
                        <w:div w:id="191188669">
                          <w:marLeft w:val="0"/>
                          <w:marRight w:val="0"/>
                          <w:marTop w:val="0"/>
                          <w:marBottom w:val="0"/>
                          <w:divBdr>
                            <w:top w:val="none" w:sz="0" w:space="0" w:color="auto"/>
                            <w:left w:val="none" w:sz="0" w:space="0" w:color="auto"/>
                            <w:bottom w:val="none" w:sz="0" w:space="0" w:color="auto"/>
                            <w:right w:val="none" w:sz="0" w:space="0" w:color="auto"/>
                          </w:divBdr>
                          <w:divsChild>
                            <w:div w:id="1313287912">
                              <w:marLeft w:val="0"/>
                              <w:marRight w:val="0"/>
                              <w:marTop w:val="0"/>
                              <w:marBottom w:val="0"/>
                              <w:divBdr>
                                <w:top w:val="none" w:sz="0" w:space="0" w:color="auto"/>
                                <w:left w:val="none" w:sz="0" w:space="0" w:color="auto"/>
                                <w:bottom w:val="none" w:sz="0" w:space="0" w:color="auto"/>
                                <w:right w:val="none" w:sz="0" w:space="0" w:color="auto"/>
                              </w:divBdr>
                              <w:divsChild>
                                <w:div w:id="233009238">
                                  <w:marLeft w:val="0"/>
                                  <w:marRight w:val="0"/>
                                  <w:marTop w:val="0"/>
                                  <w:marBottom w:val="0"/>
                                  <w:divBdr>
                                    <w:top w:val="none" w:sz="0" w:space="0" w:color="auto"/>
                                    <w:left w:val="none" w:sz="0" w:space="0" w:color="auto"/>
                                    <w:bottom w:val="none" w:sz="0" w:space="0" w:color="auto"/>
                                    <w:right w:val="none" w:sz="0" w:space="0" w:color="auto"/>
                                  </w:divBdr>
                                  <w:divsChild>
                                    <w:div w:id="1552767406">
                                      <w:marLeft w:val="0"/>
                                      <w:marRight w:val="0"/>
                                      <w:marTop w:val="0"/>
                                      <w:marBottom w:val="0"/>
                                      <w:divBdr>
                                        <w:top w:val="none" w:sz="0" w:space="0" w:color="auto"/>
                                        <w:left w:val="none" w:sz="0" w:space="0" w:color="auto"/>
                                        <w:bottom w:val="none" w:sz="0" w:space="0" w:color="auto"/>
                                        <w:right w:val="none" w:sz="0" w:space="0" w:color="auto"/>
                                      </w:divBdr>
                                      <w:divsChild>
                                        <w:div w:id="601302194">
                                          <w:marLeft w:val="0"/>
                                          <w:marRight w:val="0"/>
                                          <w:marTop w:val="0"/>
                                          <w:marBottom w:val="0"/>
                                          <w:divBdr>
                                            <w:top w:val="none" w:sz="0" w:space="0" w:color="auto"/>
                                            <w:left w:val="none" w:sz="0" w:space="0" w:color="auto"/>
                                            <w:bottom w:val="none" w:sz="0" w:space="0" w:color="auto"/>
                                            <w:right w:val="none" w:sz="0" w:space="0" w:color="auto"/>
                                          </w:divBdr>
                                          <w:divsChild>
                                            <w:div w:id="1383018527">
                                              <w:marLeft w:val="0"/>
                                              <w:marRight w:val="0"/>
                                              <w:marTop w:val="0"/>
                                              <w:marBottom w:val="0"/>
                                              <w:divBdr>
                                                <w:top w:val="none" w:sz="0" w:space="0" w:color="auto"/>
                                                <w:left w:val="none" w:sz="0" w:space="0" w:color="auto"/>
                                                <w:bottom w:val="none" w:sz="0" w:space="0" w:color="auto"/>
                                                <w:right w:val="none" w:sz="0" w:space="0" w:color="auto"/>
                                              </w:divBdr>
                                              <w:divsChild>
                                                <w:div w:id="2091727885">
                                                  <w:marLeft w:val="0"/>
                                                  <w:marRight w:val="0"/>
                                                  <w:marTop w:val="0"/>
                                                  <w:marBottom w:val="0"/>
                                                  <w:divBdr>
                                                    <w:top w:val="none" w:sz="0" w:space="0" w:color="auto"/>
                                                    <w:left w:val="none" w:sz="0" w:space="0" w:color="auto"/>
                                                    <w:bottom w:val="none" w:sz="0" w:space="0" w:color="auto"/>
                                                    <w:right w:val="none" w:sz="0" w:space="0" w:color="auto"/>
                                                  </w:divBdr>
                                                  <w:divsChild>
                                                    <w:div w:id="1019701816">
                                                      <w:marLeft w:val="0"/>
                                                      <w:marRight w:val="0"/>
                                                      <w:marTop w:val="0"/>
                                                      <w:marBottom w:val="0"/>
                                                      <w:divBdr>
                                                        <w:top w:val="none" w:sz="0" w:space="0" w:color="auto"/>
                                                        <w:left w:val="none" w:sz="0" w:space="0" w:color="auto"/>
                                                        <w:bottom w:val="none" w:sz="0" w:space="0" w:color="auto"/>
                                                        <w:right w:val="none" w:sz="0" w:space="0" w:color="auto"/>
                                                      </w:divBdr>
                                                      <w:divsChild>
                                                        <w:div w:id="1830443079">
                                                          <w:marLeft w:val="0"/>
                                                          <w:marRight w:val="0"/>
                                                          <w:marTop w:val="0"/>
                                                          <w:marBottom w:val="0"/>
                                                          <w:divBdr>
                                                            <w:top w:val="none" w:sz="0" w:space="0" w:color="auto"/>
                                                            <w:left w:val="none" w:sz="0" w:space="0" w:color="auto"/>
                                                            <w:bottom w:val="none" w:sz="0" w:space="0" w:color="auto"/>
                                                            <w:right w:val="none" w:sz="0" w:space="0" w:color="auto"/>
                                                          </w:divBdr>
                                                          <w:divsChild>
                                                            <w:div w:id="17705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6834334">
      <w:bodyDiv w:val="1"/>
      <w:marLeft w:val="0"/>
      <w:marRight w:val="0"/>
      <w:marTop w:val="0"/>
      <w:marBottom w:val="0"/>
      <w:divBdr>
        <w:top w:val="none" w:sz="0" w:space="0" w:color="auto"/>
        <w:left w:val="none" w:sz="0" w:space="0" w:color="auto"/>
        <w:bottom w:val="none" w:sz="0" w:space="0" w:color="auto"/>
        <w:right w:val="none" w:sz="0" w:space="0" w:color="auto"/>
      </w:divBdr>
    </w:div>
    <w:div w:id="1812744772">
      <w:bodyDiv w:val="1"/>
      <w:marLeft w:val="0"/>
      <w:marRight w:val="0"/>
      <w:marTop w:val="0"/>
      <w:marBottom w:val="0"/>
      <w:divBdr>
        <w:top w:val="none" w:sz="0" w:space="0" w:color="auto"/>
        <w:left w:val="none" w:sz="0" w:space="0" w:color="auto"/>
        <w:bottom w:val="none" w:sz="0" w:space="0" w:color="auto"/>
        <w:right w:val="none" w:sz="0" w:space="0" w:color="auto"/>
      </w:divBdr>
    </w:div>
    <w:div w:id="1847593881">
      <w:bodyDiv w:val="1"/>
      <w:marLeft w:val="0"/>
      <w:marRight w:val="0"/>
      <w:marTop w:val="0"/>
      <w:marBottom w:val="0"/>
      <w:divBdr>
        <w:top w:val="none" w:sz="0" w:space="0" w:color="auto"/>
        <w:left w:val="none" w:sz="0" w:space="0" w:color="auto"/>
        <w:bottom w:val="none" w:sz="0" w:space="0" w:color="auto"/>
        <w:right w:val="none" w:sz="0" w:space="0" w:color="auto"/>
      </w:divBdr>
    </w:div>
    <w:div w:id="1855001385">
      <w:bodyDiv w:val="1"/>
      <w:marLeft w:val="0"/>
      <w:marRight w:val="0"/>
      <w:marTop w:val="0"/>
      <w:marBottom w:val="0"/>
      <w:divBdr>
        <w:top w:val="none" w:sz="0" w:space="0" w:color="auto"/>
        <w:left w:val="none" w:sz="0" w:space="0" w:color="auto"/>
        <w:bottom w:val="none" w:sz="0" w:space="0" w:color="auto"/>
        <w:right w:val="none" w:sz="0" w:space="0" w:color="auto"/>
      </w:divBdr>
    </w:div>
    <w:div w:id="1970747641">
      <w:bodyDiv w:val="1"/>
      <w:marLeft w:val="0"/>
      <w:marRight w:val="0"/>
      <w:marTop w:val="0"/>
      <w:marBottom w:val="0"/>
      <w:divBdr>
        <w:top w:val="none" w:sz="0" w:space="0" w:color="auto"/>
        <w:left w:val="none" w:sz="0" w:space="0" w:color="auto"/>
        <w:bottom w:val="none" w:sz="0" w:space="0" w:color="auto"/>
        <w:right w:val="none" w:sz="0" w:space="0" w:color="auto"/>
      </w:divBdr>
      <w:divsChild>
        <w:div w:id="1963606144">
          <w:marLeft w:val="1267"/>
          <w:marRight w:val="0"/>
          <w:marTop w:val="0"/>
          <w:marBottom w:val="0"/>
          <w:divBdr>
            <w:top w:val="none" w:sz="0" w:space="0" w:color="auto"/>
            <w:left w:val="none" w:sz="0" w:space="0" w:color="auto"/>
            <w:bottom w:val="none" w:sz="0" w:space="0" w:color="auto"/>
            <w:right w:val="none" w:sz="0" w:space="0" w:color="auto"/>
          </w:divBdr>
        </w:div>
        <w:div w:id="645818031">
          <w:marLeft w:val="1267"/>
          <w:marRight w:val="0"/>
          <w:marTop w:val="0"/>
          <w:marBottom w:val="0"/>
          <w:divBdr>
            <w:top w:val="none" w:sz="0" w:space="0" w:color="auto"/>
            <w:left w:val="none" w:sz="0" w:space="0" w:color="auto"/>
            <w:bottom w:val="none" w:sz="0" w:space="0" w:color="auto"/>
            <w:right w:val="none" w:sz="0" w:space="0" w:color="auto"/>
          </w:divBdr>
        </w:div>
      </w:divsChild>
    </w:div>
    <w:div w:id="2037652436">
      <w:bodyDiv w:val="1"/>
      <w:marLeft w:val="0"/>
      <w:marRight w:val="0"/>
      <w:marTop w:val="0"/>
      <w:marBottom w:val="0"/>
      <w:divBdr>
        <w:top w:val="none" w:sz="0" w:space="0" w:color="auto"/>
        <w:left w:val="none" w:sz="0" w:space="0" w:color="auto"/>
        <w:bottom w:val="none" w:sz="0" w:space="0" w:color="auto"/>
        <w:right w:val="none" w:sz="0" w:space="0" w:color="auto"/>
      </w:divBdr>
    </w:div>
    <w:div w:id="2093702396">
      <w:bodyDiv w:val="1"/>
      <w:marLeft w:val="0"/>
      <w:marRight w:val="0"/>
      <w:marTop w:val="0"/>
      <w:marBottom w:val="0"/>
      <w:divBdr>
        <w:top w:val="none" w:sz="0" w:space="0" w:color="auto"/>
        <w:left w:val="none" w:sz="0" w:space="0" w:color="auto"/>
        <w:bottom w:val="none" w:sz="0" w:space="0" w:color="auto"/>
        <w:right w:val="none" w:sz="0" w:space="0" w:color="auto"/>
      </w:divBdr>
    </w:div>
    <w:div w:id="2122214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9894CFB0</Template>
  <TotalTime>14</TotalTime>
  <Pages>5</Pages>
  <Words>1878</Words>
  <Characters>10331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Inhoud Schildklier.docx</vt:lpstr>
    </vt:vector>
  </TitlesOfParts>
  <Company>UMC Utrecht</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 Schildklier.docx</dc:title>
  <dc:creator>Paf, M.M.</dc:creator>
  <cp:lastModifiedBy>Paf, M.M.</cp:lastModifiedBy>
  <cp:revision>5</cp:revision>
  <cp:lastPrinted>2014-08-27T10:37:00Z</cp:lastPrinted>
  <dcterms:created xsi:type="dcterms:W3CDTF">2016-06-02T11:40:00Z</dcterms:created>
  <dcterms:modified xsi:type="dcterms:W3CDTF">2016-06-02T11:55:00Z</dcterms:modified>
</cp:coreProperties>
</file>